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C7" w:rsidRDefault="006F24C7" w:rsidP="006F24C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6F24C7" w:rsidRPr="00C91A73" w:rsidRDefault="006F24C7" w:rsidP="006F24C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 работе отдела ЗАГС администрации  Бузулукского района Оренбургской</w:t>
      </w:r>
      <w:r>
        <w:rPr>
          <w:b/>
          <w:szCs w:val="28"/>
        </w:rPr>
        <w:tab/>
        <w:t>области за     2016  год</w:t>
      </w:r>
    </w:p>
    <w:p w:rsidR="006F24C7" w:rsidRDefault="006F24C7" w:rsidP="006F24C7">
      <w:pPr>
        <w:contextualSpacing/>
        <w:jc w:val="center"/>
        <w:rPr>
          <w:b/>
          <w:szCs w:val="28"/>
        </w:rPr>
      </w:pPr>
    </w:p>
    <w:p w:rsidR="006F24C7" w:rsidRDefault="006F24C7" w:rsidP="006F24C7">
      <w:pPr>
        <w:ind w:left="360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C91A73">
        <w:rPr>
          <w:b/>
          <w:szCs w:val="28"/>
        </w:rPr>
        <w:t xml:space="preserve">. </w:t>
      </w:r>
      <w:r>
        <w:rPr>
          <w:b/>
          <w:szCs w:val="28"/>
        </w:rPr>
        <w:t>Организационная работа</w:t>
      </w:r>
    </w:p>
    <w:p w:rsidR="006F24C7" w:rsidRDefault="006F24C7" w:rsidP="006F24C7">
      <w:pPr>
        <w:contextualSpacing/>
        <w:jc w:val="center"/>
        <w:rPr>
          <w:b/>
          <w:szCs w:val="28"/>
        </w:rPr>
      </w:pPr>
    </w:p>
    <w:p w:rsidR="006F24C7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 w:rsidRPr="000A793B">
        <w:rPr>
          <w:szCs w:val="28"/>
        </w:rPr>
        <w:t>Положение об отделе ЗАГС</w:t>
      </w:r>
      <w:r>
        <w:rPr>
          <w:szCs w:val="28"/>
        </w:rPr>
        <w:t xml:space="preserve"> утверждено Постановлением администрации муниципального образования </w:t>
      </w: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район Оренбургской области от 04.07.2016 года №504-П;</w:t>
      </w:r>
    </w:p>
    <w:p w:rsidR="006F24C7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Номенклатура дел утверждена начальником отдела ЗАГС администрации Бузулукского района Оренбургской области 11.01.2016 года;</w:t>
      </w:r>
    </w:p>
    <w:p w:rsidR="006F24C7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График работы и приема граждан: с понедельника по пятницу с 8-00 по 17-00, перерыв на обед с 13-00 до 14-00, суббота, воскресенье выходные дни;</w:t>
      </w:r>
    </w:p>
    <w:p w:rsidR="006F24C7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 w:rsidRPr="003F0400">
        <w:rPr>
          <w:szCs w:val="28"/>
        </w:rPr>
        <w:t>Численность сельских поселений, осуществляющих полномочия по государственной регистрации актов гражданского состояния в количестве 28 му</w:t>
      </w:r>
      <w:r>
        <w:rPr>
          <w:szCs w:val="28"/>
        </w:rPr>
        <w:t>н</w:t>
      </w:r>
      <w:r w:rsidRPr="003F0400">
        <w:rPr>
          <w:szCs w:val="28"/>
        </w:rPr>
        <w:t>иципальных образований</w:t>
      </w:r>
      <w:r>
        <w:rPr>
          <w:szCs w:val="28"/>
        </w:rPr>
        <w:t>;</w:t>
      </w:r>
    </w:p>
    <w:p w:rsidR="006F24C7" w:rsidRPr="003F0400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 w:rsidRPr="003F0400">
        <w:rPr>
          <w:szCs w:val="28"/>
        </w:rPr>
        <w:t>Планирование работы</w:t>
      </w:r>
      <w:r>
        <w:rPr>
          <w:szCs w:val="28"/>
        </w:rPr>
        <w:t xml:space="preserve"> ведется поквартально, план работы утверждается заместителем главы района-руководителем аппарата, курирующем отдел</w:t>
      </w:r>
      <w:r w:rsidRPr="003F0400">
        <w:rPr>
          <w:szCs w:val="28"/>
        </w:rPr>
        <w:t>;</w:t>
      </w:r>
    </w:p>
    <w:p w:rsidR="006F24C7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 w:rsidRPr="003B6B86">
        <w:rPr>
          <w:szCs w:val="28"/>
        </w:rPr>
        <w:t xml:space="preserve">Информированность населения о работе отдела ЗАГС: место размещения информации на информационном стенде, на сайте администрации района, (перечень </w:t>
      </w:r>
      <w:proofErr w:type="spellStart"/>
      <w:proofErr w:type="gramStart"/>
      <w:r w:rsidRPr="003B6B86">
        <w:rPr>
          <w:szCs w:val="28"/>
        </w:rPr>
        <w:t>гос.услуг</w:t>
      </w:r>
      <w:proofErr w:type="spellEnd"/>
      <w:proofErr w:type="gramEnd"/>
      <w:r w:rsidRPr="003B6B86">
        <w:rPr>
          <w:szCs w:val="28"/>
        </w:rPr>
        <w:t>, размеры госпошлины, реквизиты по оплате госпошлины)в средствах массовой</w:t>
      </w:r>
      <w:r w:rsidRPr="003B6B86">
        <w:rPr>
          <w:szCs w:val="28"/>
        </w:rPr>
        <w:tab/>
        <w:t xml:space="preserve"> информации</w:t>
      </w:r>
      <w:r>
        <w:rPr>
          <w:szCs w:val="28"/>
        </w:rPr>
        <w:t>;</w:t>
      </w:r>
    </w:p>
    <w:p w:rsidR="006F24C7" w:rsidRPr="003B6B86" w:rsidRDefault="006F24C7" w:rsidP="006F24C7">
      <w:pPr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Кадровое обеспечение: начальник отдела ЗАГС и старший инспектор;</w:t>
      </w:r>
    </w:p>
    <w:p w:rsidR="006F24C7" w:rsidRPr="000A793B" w:rsidRDefault="006F24C7" w:rsidP="006F24C7">
      <w:pPr>
        <w:ind w:left="720"/>
        <w:contextualSpacing/>
        <w:jc w:val="both"/>
        <w:rPr>
          <w:szCs w:val="28"/>
        </w:rPr>
      </w:pPr>
    </w:p>
    <w:p w:rsidR="006F24C7" w:rsidRPr="00945983" w:rsidRDefault="006F24C7" w:rsidP="006F24C7">
      <w:pPr>
        <w:ind w:left="360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C91A73">
        <w:rPr>
          <w:b/>
          <w:szCs w:val="28"/>
        </w:rPr>
        <w:t xml:space="preserve">. </w:t>
      </w:r>
      <w:r w:rsidRPr="00945983">
        <w:rPr>
          <w:b/>
          <w:szCs w:val="28"/>
        </w:rPr>
        <w:t>Государственная регистрация актов гражданского состояния</w:t>
      </w:r>
    </w:p>
    <w:p w:rsidR="006F24C7" w:rsidRPr="00945983" w:rsidRDefault="006F24C7" w:rsidP="006F24C7">
      <w:pPr>
        <w:ind w:left="1080"/>
        <w:contextualSpacing/>
        <w:jc w:val="center"/>
        <w:rPr>
          <w:b/>
          <w:szCs w:val="28"/>
        </w:rPr>
      </w:pPr>
      <w:r w:rsidRPr="00945983">
        <w:rPr>
          <w:b/>
          <w:szCs w:val="28"/>
        </w:rPr>
        <w:t>и иные юридически значимые действия</w:t>
      </w:r>
    </w:p>
    <w:p w:rsidR="006F24C7" w:rsidRPr="00945983" w:rsidRDefault="006F24C7" w:rsidP="006F24C7">
      <w:pPr>
        <w:ind w:left="720"/>
        <w:contextualSpacing/>
        <w:jc w:val="center"/>
        <w:rPr>
          <w:b/>
          <w:szCs w:val="28"/>
        </w:rPr>
      </w:pPr>
    </w:p>
    <w:p w:rsidR="006F24C7" w:rsidRDefault="006F24C7" w:rsidP="006F24C7">
      <w:pPr>
        <w:numPr>
          <w:ilvl w:val="0"/>
          <w:numId w:val="3"/>
        </w:numPr>
        <w:contextualSpacing/>
        <w:jc w:val="both"/>
        <w:rPr>
          <w:szCs w:val="28"/>
        </w:rPr>
      </w:pPr>
      <w:r>
        <w:rPr>
          <w:szCs w:val="28"/>
        </w:rPr>
        <w:t>Информация о количестве зарегистрированных актов гражданского состояния на территории муниципального образования в 2016 году – 994 акта гражданского состояния, в том числе 310 о рождении (8 пар двоен), 363 о смерти, 154 о заключении брака, 121 о расторжении брака, в отношении 40 детей установлено отцовство, 2 детей усыновили, 4 человека переменили имя (фамилию, отчество)</w:t>
      </w:r>
    </w:p>
    <w:p w:rsidR="006F24C7" w:rsidRDefault="006F24C7" w:rsidP="006F24C7">
      <w:pPr>
        <w:numPr>
          <w:ilvl w:val="0"/>
          <w:numId w:val="3"/>
        </w:numPr>
        <w:contextualSpacing/>
        <w:jc w:val="both"/>
        <w:rPr>
          <w:szCs w:val="28"/>
        </w:rPr>
      </w:pPr>
      <w:r>
        <w:rPr>
          <w:szCs w:val="28"/>
        </w:rPr>
        <w:t>Динамика государственной регистрации актов гражданского состояния по видам от 5 до 10 лет:</w:t>
      </w:r>
    </w:p>
    <w:p w:rsidR="006F24C7" w:rsidRDefault="006F24C7" w:rsidP="006F24C7">
      <w:pPr>
        <w:contextualSpacing/>
        <w:jc w:val="both"/>
        <w:rPr>
          <w:szCs w:val="28"/>
        </w:rPr>
      </w:pPr>
    </w:p>
    <w:p w:rsidR="006F24C7" w:rsidRDefault="006F24C7" w:rsidP="006F24C7">
      <w:pPr>
        <w:contextualSpacing/>
        <w:jc w:val="both"/>
        <w:rPr>
          <w:szCs w:val="28"/>
        </w:rPr>
      </w:pP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093"/>
        <w:gridCol w:w="1115"/>
        <w:gridCol w:w="1140"/>
        <w:gridCol w:w="1112"/>
        <w:gridCol w:w="1271"/>
        <w:gridCol w:w="1122"/>
        <w:gridCol w:w="1131"/>
        <w:gridCol w:w="1113"/>
      </w:tblGrid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годы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Кол-во а/з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 xml:space="preserve">О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О смерти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О браке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 xml:space="preserve">О </w:t>
            </w:r>
            <w:proofErr w:type="spellStart"/>
            <w:r>
              <w:t>расторж</w:t>
            </w:r>
            <w:proofErr w:type="spellEnd"/>
            <w:r>
              <w:t>.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 xml:space="preserve">Об </w:t>
            </w:r>
            <w:proofErr w:type="spellStart"/>
            <w:r>
              <w:t>устан</w:t>
            </w:r>
            <w:proofErr w:type="spellEnd"/>
            <w:r>
              <w:t>.</w:t>
            </w:r>
          </w:p>
          <w:p w:rsidR="006F24C7" w:rsidRDefault="006F24C7" w:rsidP="006F24C7">
            <w:pPr>
              <w:contextualSpacing/>
            </w:pPr>
            <w:proofErr w:type="spellStart"/>
            <w:r>
              <w:t>отц</w:t>
            </w:r>
            <w:proofErr w:type="spellEnd"/>
            <w:r>
              <w:t>.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 xml:space="preserve">О </w:t>
            </w:r>
            <w:proofErr w:type="spellStart"/>
            <w:r>
              <w:t>перем</w:t>
            </w:r>
            <w:proofErr w:type="spellEnd"/>
            <w:r>
              <w:t>. имени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 xml:space="preserve">Об </w:t>
            </w:r>
            <w:proofErr w:type="spellStart"/>
            <w:r>
              <w:t>усын</w:t>
            </w:r>
            <w:proofErr w:type="spellEnd"/>
            <w:r>
              <w:t>.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2016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994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310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363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154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121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40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2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2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2015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1161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343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397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224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134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54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8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1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2014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1317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402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421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250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171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61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11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1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2013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1424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394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455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311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181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63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20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-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2012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1498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415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502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349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153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64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13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2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2011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1519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404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521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350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169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70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5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-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lastRenderedPageBreak/>
              <w:t>2010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1501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402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509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385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137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58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6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4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2009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1589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405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539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409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153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75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8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-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2008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1665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409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581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432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182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53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5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3</w:t>
            </w:r>
          </w:p>
        </w:tc>
      </w:tr>
      <w:tr w:rsidR="006F24C7" w:rsidTr="006F24C7">
        <w:tc>
          <w:tcPr>
            <w:tcW w:w="1137" w:type="dxa"/>
          </w:tcPr>
          <w:p w:rsidR="006F24C7" w:rsidRDefault="006F24C7" w:rsidP="006F24C7">
            <w:pPr>
              <w:contextualSpacing/>
            </w:pPr>
            <w:r>
              <w:t>2007</w:t>
            </w:r>
          </w:p>
        </w:tc>
        <w:tc>
          <w:tcPr>
            <w:tcW w:w="1136" w:type="dxa"/>
          </w:tcPr>
          <w:p w:rsidR="006F24C7" w:rsidRDefault="006F24C7" w:rsidP="006F24C7">
            <w:pPr>
              <w:contextualSpacing/>
            </w:pPr>
            <w:r>
              <w:t>1563</w:t>
            </w:r>
          </w:p>
        </w:tc>
        <w:tc>
          <w:tcPr>
            <w:tcW w:w="1144" w:type="dxa"/>
          </w:tcPr>
          <w:p w:rsidR="006F24C7" w:rsidRDefault="006F24C7" w:rsidP="006F24C7">
            <w:pPr>
              <w:contextualSpacing/>
            </w:pPr>
            <w:r>
              <w:t>367</w:t>
            </w:r>
          </w:p>
        </w:tc>
        <w:tc>
          <w:tcPr>
            <w:tcW w:w="1152" w:type="dxa"/>
          </w:tcPr>
          <w:p w:rsidR="006F24C7" w:rsidRDefault="006F24C7" w:rsidP="006F24C7">
            <w:pPr>
              <w:contextualSpacing/>
            </w:pPr>
            <w:r>
              <w:t>572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413</w:t>
            </w:r>
          </w:p>
        </w:tc>
        <w:tc>
          <w:tcPr>
            <w:tcW w:w="1271" w:type="dxa"/>
          </w:tcPr>
          <w:p w:rsidR="006F24C7" w:rsidRDefault="006F24C7" w:rsidP="006F24C7">
            <w:pPr>
              <w:contextualSpacing/>
            </w:pPr>
            <w:r>
              <w:t>164</w:t>
            </w:r>
          </w:p>
        </w:tc>
        <w:tc>
          <w:tcPr>
            <w:tcW w:w="1146" w:type="dxa"/>
          </w:tcPr>
          <w:p w:rsidR="006F24C7" w:rsidRDefault="006F24C7" w:rsidP="006F24C7">
            <w:pPr>
              <w:contextualSpacing/>
            </w:pPr>
            <w:r>
              <w:t>40</w:t>
            </w:r>
          </w:p>
        </w:tc>
        <w:tc>
          <w:tcPr>
            <w:tcW w:w="1149" w:type="dxa"/>
          </w:tcPr>
          <w:p w:rsidR="006F24C7" w:rsidRDefault="006F24C7" w:rsidP="006F24C7">
            <w:pPr>
              <w:contextualSpacing/>
            </w:pPr>
            <w:r>
              <w:t>7</w:t>
            </w:r>
          </w:p>
        </w:tc>
        <w:tc>
          <w:tcPr>
            <w:tcW w:w="1143" w:type="dxa"/>
          </w:tcPr>
          <w:p w:rsidR="006F24C7" w:rsidRDefault="006F24C7" w:rsidP="006F24C7">
            <w:pPr>
              <w:contextualSpacing/>
            </w:pPr>
            <w:r>
              <w:t>-</w:t>
            </w:r>
          </w:p>
        </w:tc>
      </w:tr>
    </w:tbl>
    <w:p w:rsidR="006F24C7" w:rsidRDefault="006F24C7" w:rsidP="006F24C7">
      <w:pPr>
        <w:ind w:left="928"/>
        <w:contextualSpacing/>
        <w:jc w:val="both"/>
        <w:rPr>
          <w:szCs w:val="28"/>
        </w:rPr>
      </w:pP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 xml:space="preserve">3. Сравнительный анализ: 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количество актов гражданского состояния по всем видам, начиная с 2012 года с каждым годом уменьшается, соответственно: на 5, 8,12. 14 %;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самые распространенные имена среди родившихся на протяжении многих лет, мужские: Артем, Александр, Егор, женские: Виктория, Дарья, Елизавета;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количество браков также уменьшается, начиная с 2012 года соответственно на 11, 20, 11, 31%;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из года в год уменьшается количество регистраций брака в торжественной обстановке: в 2012 г. – 93, в 2013 – 90, в 2014 – 57, в 2015 – 53, в 2016 – 44;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с сокращением срока ожидания регистрации брака ежегодно (с 2012 г.) заключается 17-18% от общего числа браков;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более чем половина браков (с 2013 г.) расторгается;</w:t>
      </w:r>
    </w:p>
    <w:p w:rsidR="006F24C7" w:rsidRDefault="006F24C7" w:rsidP="006F24C7">
      <w:pPr>
        <w:ind w:left="928"/>
        <w:contextualSpacing/>
        <w:jc w:val="both"/>
        <w:rPr>
          <w:szCs w:val="28"/>
        </w:rPr>
      </w:pPr>
      <w:r>
        <w:rPr>
          <w:szCs w:val="28"/>
        </w:rPr>
        <w:t>-  средний возраст умерших за 10 лет в среднем не изменяется: у мужчин 61-63 года, женщин 74 года;</w:t>
      </w:r>
    </w:p>
    <w:p w:rsidR="006F24C7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Учет, хранение и расходование бланков свидетельств о государственной регистрации актов гражданского состояния: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- количество израсходованных бланков свидетельств за год составило - 1676, испорченных бланков - 55, причины порчи бланков– неисправность оргтехники, орфографические и технические ошибки и др.;</w:t>
      </w:r>
    </w:p>
    <w:p w:rsidR="006F24C7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Работа с обращениями граждан: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- принято граждан по вопросам государственной регистрации актов гражданского состояния - 994, по сравнению с 2015 годом количество актов гражданского состояния уменьшилось на 167 записей;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– принято граждан по другим юридически значимым действиям - 1023, по сравнению с 2015 годом количество обращений уменьшилось на 114;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– количество обращений электронной почтой - 29, по сравнению с 2015 годом количество обращений увеличилось на 19;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– количество обращений почтовой связью осталось практически на том же уровне – 170, (в 2015 -172);</w:t>
      </w:r>
    </w:p>
    <w:p w:rsidR="006F24C7" w:rsidRDefault="006F24C7" w:rsidP="006F24C7">
      <w:pPr>
        <w:ind w:left="1440"/>
        <w:contextualSpacing/>
        <w:jc w:val="both"/>
        <w:rPr>
          <w:szCs w:val="28"/>
        </w:rPr>
      </w:pPr>
      <w:r>
        <w:rPr>
          <w:szCs w:val="28"/>
        </w:rPr>
        <w:t>причины обращений: государственная</w:t>
      </w:r>
      <w:r w:rsidRPr="00964CC7">
        <w:rPr>
          <w:szCs w:val="28"/>
        </w:rPr>
        <w:t xml:space="preserve"> регистраци</w:t>
      </w:r>
      <w:r>
        <w:rPr>
          <w:szCs w:val="28"/>
        </w:rPr>
        <w:t>я</w:t>
      </w:r>
      <w:r w:rsidRPr="00964CC7">
        <w:rPr>
          <w:szCs w:val="28"/>
        </w:rPr>
        <w:t xml:space="preserve"> актов гражданского состояния в целях охраны имущественных и личных неимущественных прав граждан</w:t>
      </w:r>
      <w:r>
        <w:rPr>
          <w:szCs w:val="28"/>
        </w:rPr>
        <w:t>,</w:t>
      </w:r>
      <w:r w:rsidRPr="00964CC7">
        <w:rPr>
          <w:szCs w:val="28"/>
        </w:rPr>
        <w:t xml:space="preserve"> </w:t>
      </w:r>
      <w:r>
        <w:rPr>
          <w:szCs w:val="28"/>
        </w:rPr>
        <w:t>для оформления документов (наследственные дела, купля-продажа, составление генеалогического древа, сроки исполнения – от 1 до 3 дней; (приложение формы № 3,4);</w:t>
      </w:r>
    </w:p>
    <w:p w:rsidR="006F24C7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Работа с запросами организаций (учреждений):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поступило запросов от организаций (учреждений) – 1508, по сравнению с 2015 годом количество запросов убавилось на 207;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 xml:space="preserve">причины обращений – оформление документов, сроки исполнения 1-3 дня; (приложение форма № 5);   </w:t>
      </w:r>
    </w:p>
    <w:p w:rsidR="006F24C7" w:rsidRPr="005B17A4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 w:rsidRPr="005B17A4">
        <w:rPr>
          <w:szCs w:val="28"/>
        </w:rPr>
        <w:t xml:space="preserve">Жалобы на действия или бездействия руководителей отделов ЗАГС – не поступало; </w:t>
      </w:r>
    </w:p>
    <w:p w:rsidR="006F24C7" w:rsidRDefault="006F24C7" w:rsidP="006F24C7">
      <w:pPr>
        <w:contextualSpacing/>
        <w:jc w:val="both"/>
        <w:rPr>
          <w:szCs w:val="28"/>
        </w:rPr>
      </w:pPr>
    </w:p>
    <w:p w:rsidR="006F24C7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Деятельность в сфере международной правовой помощи: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 xml:space="preserve">количество направленных запросов – 42, из них - 30 с составлением заявлений-анкет, 3 запроса повторных, 9 запросов отдела </w:t>
      </w:r>
      <w:proofErr w:type="gramStart"/>
      <w:r>
        <w:rPr>
          <w:szCs w:val="28"/>
        </w:rPr>
        <w:t>ЗАГС  по</w:t>
      </w:r>
      <w:proofErr w:type="gramEnd"/>
      <w:r>
        <w:rPr>
          <w:szCs w:val="28"/>
        </w:rPr>
        <w:t xml:space="preserve"> истребованию копий записей актов и просьбы-поручения об оказании правовой помощи во внесении изменений в а/з;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количество поступивших документов – 34;</w:t>
      </w:r>
    </w:p>
    <w:p w:rsidR="006F24C7" w:rsidRDefault="006F24C7" w:rsidP="006F24C7">
      <w:pPr>
        <w:numPr>
          <w:ilvl w:val="1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количество поступивших запросов с территории иностранных государств -14;</w:t>
      </w: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       анализ по странам: количество направляемых и поступивших запрос с каждым годом увеличивается, сроки исполнения не изменяются, Беларусь исполняет запросы в течении месяца, Казахстан от 1,5 до 3 месяцев, остальные </w:t>
      </w:r>
      <w:proofErr w:type="gramStart"/>
      <w:r>
        <w:rPr>
          <w:szCs w:val="28"/>
        </w:rPr>
        <w:t>страны  от</w:t>
      </w:r>
      <w:proofErr w:type="gramEnd"/>
      <w:r>
        <w:rPr>
          <w:szCs w:val="28"/>
        </w:rPr>
        <w:t xml:space="preserve"> 4 до 8 месяцев;</w:t>
      </w:r>
    </w:p>
    <w:p w:rsidR="006F24C7" w:rsidRPr="00DF1F31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 w:rsidRPr="00DF1F31">
        <w:rPr>
          <w:szCs w:val="28"/>
        </w:rPr>
        <w:t>Учеба кадров проводится по мере необходимости, и с вновь назначенными специалистами администраций сельсоветов по вопросам ЗАГС. Проведено 2 занятия постоянно-действующего семинара, на которых была проведена  учеба со специалистами, допускающими ошибки при регистрации  актовых записей и вновь принятыми специалистами (</w:t>
      </w:r>
      <w:proofErr w:type="spellStart"/>
      <w:r w:rsidRPr="00DF1F31">
        <w:rPr>
          <w:szCs w:val="28"/>
        </w:rPr>
        <w:t>Верхневязовский</w:t>
      </w:r>
      <w:proofErr w:type="spellEnd"/>
      <w:r w:rsidRPr="00DF1F31">
        <w:rPr>
          <w:szCs w:val="28"/>
        </w:rPr>
        <w:t xml:space="preserve">, </w:t>
      </w:r>
      <w:proofErr w:type="spellStart"/>
      <w:r w:rsidRPr="00DF1F31">
        <w:rPr>
          <w:szCs w:val="28"/>
        </w:rPr>
        <w:t>Новотепловский</w:t>
      </w:r>
      <w:proofErr w:type="spellEnd"/>
      <w:r w:rsidRPr="00DF1F31">
        <w:rPr>
          <w:szCs w:val="28"/>
        </w:rPr>
        <w:t xml:space="preserve">, </w:t>
      </w:r>
      <w:proofErr w:type="spellStart"/>
      <w:r w:rsidRPr="00DF1F31">
        <w:rPr>
          <w:szCs w:val="28"/>
        </w:rPr>
        <w:t>Алдаркинский</w:t>
      </w:r>
      <w:proofErr w:type="spellEnd"/>
      <w:r w:rsidRPr="00DF1F31">
        <w:rPr>
          <w:szCs w:val="28"/>
        </w:rPr>
        <w:t xml:space="preserve">, </w:t>
      </w:r>
      <w:proofErr w:type="spellStart"/>
      <w:r w:rsidRPr="00DF1F31">
        <w:rPr>
          <w:szCs w:val="28"/>
        </w:rPr>
        <w:t>Подколкинский</w:t>
      </w:r>
      <w:proofErr w:type="spellEnd"/>
      <w:r w:rsidRPr="00DF1F31">
        <w:rPr>
          <w:szCs w:val="28"/>
        </w:rPr>
        <w:t xml:space="preserve"> сельсоветы) с применением практических занятий, теоретических вопросов, а также практические занятия по программе МАИС «ЗАГС».  Консультации даются постоянно, семинары-совещания проводятся ежеквартально;</w:t>
      </w:r>
    </w:p>
    <w:p w:rsidR="006F24C7" w:rsidRDefault="006F24C7" w:rsidP="006F24C7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 xml:space="preserve"> Работа с администрациями сельских поселений:</w:t>
      </w:r>
    </w:p>
    <w:p w:rsidR="006F24C7" w:rsidRDefault="006F24C7" w:rsidP="006F24C7">
      <w:pPr>
        <w:ind w:left="1800"/>
        <w:contextualSpacing/>
        <w:jc w:val="both"/>
        <w:rPr>
          <w:szCs w:val="28"/>
        </w:rPr>
      </w:pPr>
      <w:r>
        <w:rPr>
          <w:szCs w:val="28"/>
        </w:rPr>
        <w:t>- прием отчетов ежемесячно;</w:t>
      </w:r>
    </w:p>
    <w:p w:rsidR="006F24C7" w:rsidRDefault="006F24C7" w:rsidP="006F24C7">
      <w:pPr>
        <w:ind w:left="1800"/>
        <w:contextualSpacing/>
        <w:jc w:val="both"/>
        <w:rPr>
          <w:szCs w:val="28"/>
        </w:rPr>
      </w:pPr>
      <w:r>
        <w:rPr>
          <w:szCs w:val="28"/>
        </w:rPr>
        <w:t xml:space="preserve">- проверка работы на местах </w:t>
      </w:r>
      <w:proofErr w:type="gramStart"/>
      <w:r>
        <w:rPr>
          <w:szCs w:val="28"/>
        </w:rPr>
        <w:t>согласно квартальных планов</w:t>
      </w:r>
      <w:proofErr w:type="gramEnd"/>
      <w:r>
        <w:rPr>
          <w:szCs w:val="28"/>
        </w:rPr>
        <w:t>, выездные      приемы граждан – не практикуются;</w:t>
      </w:r>
    </w:p>
    <w:p w:rsidR="006F24C7" w:rsidRDefault="006F24C7" w:rsidP="006F24C7">
      <w:pPr>
        <w:ind w:left="1800"/>
        <w:contextualSpacing/>
        <w:jc w:val="both"/>
        <w:rPr>
          <w:szCs w:val="28"/>
        </w:rPr>
      </w:pPr>
      <w:r>
        <w:rPr>
          <w:szCs w:val="28"/>
        </w:rPr>
        <w:t>- проверка Управлением Министерства юстиции Российской   Федерации состоялась с 26.10 по 28.10.2016 года;</w:t>
      </w:r>
    </w:p>
    <w:p w:rsidR="006F24C7" w:rsidRDefault="006F24C7" w:rsidP="006F24C7">
      <w:pPr>
        <w:ind w:left="1800"/>
        <w:contextualSpacing/>
        <w:jc w:val="both"/>
        <w:rPr>
          <w:szCs w:val="28"/>
        </w:rPr>
      </w:pPr>
      <w:r>
        <w:rPr>
          <w:szCs w:val="28"/>
        </w:rPr>
        <w:t>- комитетом по вопросам ЗАГС области с 26.10. по 27.10.2016 года;</w:t>
      </w:r>
    </w:p>
    <w:p w:rsidR="006F24C7" w:rsidRDefault="006F24C7" w:rsidP="006F24C7">
      <w:pPr>
        <w:ind w:left="1440"/>
        <w:contextualSpacing/>
        <w:jc w:val="both"/>
        <w:rPr>
          <w:szCs w:val="28"/>
        </w:rPr>
      </w:pPr>
      <w:r>
        <w:rPr>
          <w:szCs w:val="28"/>
        </w:rPr>
        <w:t xml:space="preserve">    - консультации, методическая работа проводится постоянно, и по мере возникновения вопросов.</w:t>
      </w: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F24C7" w:rsidRPr="00220C20" w:rsidRDefault="006F24C7" w:rsidP="006F24C7">
      <w:pPr>
        <w:ind w:left="360"/>
        <w:contextualSpacing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 w:rsidRPr="00C91A73">
        <w:rPr>
          <w:b/>
          <w:szCs w:val="28"/>
        </w:rPr>
        <w:t xml:space="preserve">. </w:t>
      </w:r>
      <w:r w:rsidRPr="00220C20">
        <w:rPr>
          <w:b/>
          <w:szCs w:val="28"/>
        </w:rPr>
        <w:t>Взаимодействие с органами государственной власти, организациями, учреждениями</w:t>
      </w:r>
    </w:p>
    <w:p w:rsidR="006F24C7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>
        <w:rPr>
          <w:szCs w:val="28"/>
        </w:rPr>
        <w:t>Формы взаимодействия: исполнение запросов, передача сведений;</w:t>
      </w:r>
    </w:p>
    <w:p w:rsidR="006F24C7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>
        <w:rPr>
          <w:szCs w:val="28"/>
        </w:rPr>
        <w:t>Проблемные вопросы, возникающие при передаче сведений по ст.12 ФЗ «Об актах гражданского состояния» - не возникают;</w:t>
      </w:r>
    </w:p>
    <w:p w:rsidR="006F24C7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>
        <w:rPr>
          <w:szCs w:val="28"/>
        </w:rPr>
        <w:t>Встречи, семинары, совещания: по мере возникновения вопросов приглашаются на семинары-совещания представители органов государственной власти: пенсионного фонда, ФОМС, УФМС и др.;</w:t>
      </w:r>
    </w:p>
    <w:p w:rsidR="006F24C7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>
        <w:rPr>
          <w:szCs w:val="28"/>
        </w:rPr>
        <w:t>Взаимодействие с медицинскими учреждениями: передача сведений о родившихся и умерших;</w:t>
      </w:r>
    </w:p>
    <w:p w:rsidR="006F24C7" w:rsidRPr="006B129C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>
        <w:rPr>
          <w:szCs w:val="28"/>
        </w:rPr>
        <w:t>Взаимодействие с органами опеки и попечительства: количество принятых распоряжений о разрешении вступить в брак – 3, постановлений на изменение фамилии несовершеннолетнему – 1, постановлений на разрешение установления отцовства по заявлению отца -1 (мать лишена родительских прав</w:t>
      </w:r>
      <w:proofErr w:type="gramStart"/>
      <w:r>
        <w:rPr>
          <w:szCs w:val="28"/>
        </w:rPr>
        <w:t>);</w:t>
      </w:r>
      <w:r w:rsidRPr="006B129C">
        <w:rPr>
          <w:szCs w:val="28"/>
        </w:rPr>
        <w:t>..</w:t>
      </w:r>
      <w:proofErr w:type="gramEnd"/>
    </w:p>
    <w:p w:rsidR="006F24C7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</w:p>
    <w:p w:rsidR="006F24C7" w:rsidRPr="000D7FF0" w:rsidRDefault="006F24C7" w:rsidP="006F24C7">
      <w:pPr>
        <w:numPr>
          <w:ilvl w:val="0"/>
          <w:numId w:val="4"/>
        </w:numPr>
        <w:contextualSpacing/>
        <w:jc w:val="both"/>
        <w:rPr>
          <w:szCs w:val="28"/>
        </w:rPr>
      </w:pPr>
      <w:r w:rsidRPr="000D7FF0">
        <w:rPr>
          <w:szCs w:val="28"/>
        </w:rPr>
        <w:lastRenderedPageBreak/>
        <w:t>Взаимодействие с судебными органами</w:t>
      </w:r>
      <w:r>
        <w:rPr>
          <w:szCs w:val="28"/>
        </w:rPr>
        <w:t xml:space="preserve">: </w:t>
      </w:r>
      <w:r w:rsidRPr="000D7FF0">
        <w:rPr>
          <w:szCs w:val="28"/>
        </w:rPr>
        <w:t>количество повесток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 xml:space="preserve">25 </w:t>
      </w:r>
      <w:r w:rsidRPr="000D7FF0">
        <w:rPr>
          <w:szCs w:val="28"/>
        </w:rPr>
        <w:t>,</w:t>
      </w:r>
      <w:proofErr w:type="gramEnd"/>
      <w:r w:rsidRPr="000D7FF0">
        <w:rPr>
          <w:szCs w:val="28"/>
        </w:rPr>
        <w:t xml:space="preserve"> участие в судебных заседаниях</w:t>
      </w:r>
      <w:r>
        <w:rPr>
          <w:szCs w:val="28"/>
        </w:rPr>
        <w:t xml:space="preserve"> – 5, проблемные вопросы -</w:t>
      </w:r>
      <w:r w:rsidRPr="000D7FF0">
        <w:rPr>
          <w:szCs w:val="28"/>
        </w:rPr>
        <w:t>)</w:t>
      </w:r>
      <w:r>
        <w:rPr>
          <w:szCs w:val="28"/>
        </w:rPr>
        <w:t>;</w:t>
      </w:r>
    </w:p>
    <w:p w:rsidR="006F24C7" w:rsidRDefault="006F24C7" w:rsidP="006F24C7">
      <w:pPr>
        <w:ind w:left="1080"/>
        <w:contextualSpacing/>
        <w:jc w:val="both"/>
        <w:rPr>
          <w:szCs w:val="28"/>
        </w:rPr>
      </w:pPr>
    </w:p>
    <w:p w:rsidR="006F24C7" w:rsidRPr="000D7FF0" w:rsidRDefault="006F24C7" w:rsidP="006F24C7">
      <w:pPr>
        <w:ind w:left="1080"/>
        <w:contextualSpacing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C91A73">
        <w:rPr>
          <w:b/>
          <w:szCs w:val="28"/>
        </w:rPr>
        <w:t xml:space="preserve">. </w:t>
      </w:r>
      <w:r w:rsidRPr="000D7FF0">
        <w:rPr>
          <w:b/>
          <w:szCs w:val="28"/>
        </w:rPr>
        <w:t>Пропаганда семейных ценностей и укрепление института семьи</w:t>
      </w:r>
    </w:p>
    <w:p w:rsidR="006F24C7" w:rsidRDefault="006F24C7" w:rsidP="006F24C7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Проведение торжественных мероприятий;</w:t>
      </w:r>
    </w:p>
    <w:p w:rsidR="006F24C7" w:rsidRDefault="006F24C7" w:rsidP="006F24C7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Программы, действующие на территории муниципального образования по чествованию молодоженов, семей, в которых родились дети, юбилейных пар:</w:t>
      </w:r>
    </w:p>
    <w:p w:rsidR="006F24C7" w:rsidRDefault="006F24C7" w:rsidP="006F24C7">
      <w:pPr>
        <w:ind w:left="1755"/>
        <w:contextualSpacing/>
        <w:jc w:val="both"/>
        <w:rPr>
          <w:szCs w:val="28"/>
        </w:rPr>
      </w:pPr>
      <w:r>
        <w:rPr>
          <w:szCs w:val="28"/>
        </w:rPr>
        <w:t>а. в администрациях сельских поселений проводятся торжественные регистрации рождения, чествования семей, в которых родилась двойня, мероприятия, посвященные «Дню семьи, любви и верности», юбилейных пар: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в администрациях Красногвардейского, Могутовского, </w:t>
      </w:r>
      <w:proofErr w:type="gramStart"/>
      <w:r>
        <w:rPr>
          <w:szCs w:val="28"/>
        </w:rPr>
        <w:t xml:space="preserve">Державинского,   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Сухореченского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Староалександровского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Твердиловского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Тупиковского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Липовского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Новотепловского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Шахматовского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Елшанского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Подколкинского</w:t>
      </w:r>
      <w:proofErr w:type="spellEnd"/>
      <w:r>
        <w:rPr>
          <w:szCs w:val="28"/>
        </w:rPr>
        <w:t xml:space="preserve">, Пригородного, </w:t>
      </w:r>
      <w:proofErr w:type="spellStart"/>
      <w:r>
        <w:rPr>
          <w:szCs w:val="28"/>
        </w:rPr>
        <w:t>Преображенского,Колтубанского</w:t>
      </w:r>
      <w:proofErr w:type="spellEnd"/>
      <w:r>
        <w:rPr>
          <w:szCs w:val="28"/>
        </w:rPr>
        <w:t xml:space="preserve">, Березовского, </w:t>
      </w:r>
      <w:proofErr w:type="spellStart"/>
      <w:r>
        <w:rPr>
          <w:szCs w:val="28"/>
        </w:rPr>
        <w:t>Лисьеполянского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Проскуринского</w:t>
      </w:r>
      <w:proofErr w:type="spellEnd"/>
      <w:r>
        <w:rPr>
          <w:szCs w:val="28"/>
        </w:rPr>
        <w:t xml:space="preserve"> сельсоветов, Колтубановского поссовета проводились традиционные чествования юбиляров семейной жизни;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в администрациях: 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Лисьеполянского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 сельсоветов 1 июня 2016 года проведены торжественные мероприятия в связи с рождением двойни в семьях Козловых и </w:t>
      </w:r>
      <w:proofErr w:type="spellStart"/>
      <w:r>
        <w:rPr>
          <w:szCs w:val="28"/>
        </w:rPr>
        <w:t>Кудло</w:t>
      </w:r>
      <w:proofErr w:type="spellEnd"/>
      <w:r>
        <w:rPr>
          <w:szCs w:val="28"/>
        </w:rPr>
        <w:t>;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 сельсовета 08 июля чествовали семью </w:t>
      </w:r>
      <w:proofErr w:type="spellStart"/>
      <w:r>
        <w:rPr>
          <w:szCs w:val="28"/>
        </w:rPr>
        <w:t>Конновых</w:t>
      </w:r>
      <w:proofErr w:type="spellEnd"/>
      <w:r>
        <w:rPr>
          <w:szCs w:val="28"/>
        </w:rPr>
        <w:t xml:space="preserve">, 27 </w:t>
      </w:r>
      <w:proofErr w:type="gramStart"/>
      <w:r>
        <w:rPr>
          <w:szCs w:val="28"/>
        </w:rPr>
        <w:t>декабря  семьи</w:t>
      </w:r>
      <w:proofErr w:type="gramEnd"/>
      <w:r>
        <w:rPr>
          <w:szCs w:val="28"/>
        </w:rPr>
        <w:t xml:space="preserve"> Мастиковых и </w:t>
      </w:r>
      <w:proofErr w:type="spellStart"/>
      <w:r>
        <w:rPr>
          <w:szCs w:val="28"/>
        </w:rPr>
        <w:t>Сосуновых</w:t>
      </w:r>
      <w:proofErr w:type="spellEnd"/>
      <w:r>
        <w:rPr>
          <w:szCs w:val="28"/>
        </w:rPr>
        <w:t>;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Староалександровского</w:t>
      </w:r>
      <w:proofErr w:type="spellEnd"/>
      <w:r>
        <w:rPr>
          <w:szCs w:val="28"/>
        </w:rPr>
        <w:t xml:space="preserve"> 29 сентября  семью </w:t>
      </w:r>
      <w:proofErr w:type="spellStart"/>
      <w:r>
        <w:rPr>
          <w:szCs w:val="28"/>
        </w:rPr>
        <w:t>Сачук</w:t>
      </w:r>
      <w:proofErr w:type="spellEnd"/>
      <w:r>
        <w:rPr>
          <w:szCs w:val="28"/>
        </w:rPr>
        <w:t>;</w:t>
      </w:r>
    </w:p>
    <w:p w:rsidR="006F24C7" w:rsidRDefault="006F24C7" w:rsidP="006F24C7">
      <w:pPr>
        <w:ind w:left="720"/>
        <w:contextualSpacing/>
        <w:jc w:val="both"/>
        <w:rPr>
          <w:szCs w:val="28"/>
        </w:rPr>
      </w:pPr>
      <w:r>
        <w:rPr>
          <w:szCs w:val="28"/>
        </w:rPr>
        <w:t xml:space="preserve"> - Преображенского 20 декабря семьи Портных и Петренко в связи с рождением двойни. </w:t>
      </w:r>
    </w:p>
    <w:p w:rsidR="006F24C7" w:rsidRDefault="006F24C7" w:rsidP="006F24C7">
      <w:pPr>
        <w:ind w:left="1755"/>
        <w:contextualSpacing/>
        <w:jc w:val="both"/>
        <w:rPr>
          <w:szCs w:val="28"/>
        </w:rPr>
      </w:pP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F24C7" w:rsidRDefault="006F24C7" w:rsidP="006F24C7">
      <w:pPr>
        <w:contextualSpacing/>
        <w:jc w:val="both"/>
        <w:rPr>
          <w:b/>
          <w:szCs w:val="28"/>
        </w:rPr>
      </w:pPr>
      <w:r w:rsidRPr="00A638D1">
        <w:rPr>
          <w:szCs w:val="28"/>
        </w:rPr>
        <w:t xml:space="preserve">                </w:t>
      </w:r>
      <w:r>
        <w:rPr>
          <w:szCs w:val="28"/>
        </w:rPr>
        <w:t xml:space="preserve">                 </w:t>
      </w:r>
      <w:r w:rsidRPr="00A638D1">
        <w:rPr>
          <w:szCs w:val="28"/>
        </w:rPr>
        <w:t xml:space="preserve"> </w:t>
      </w:r>
      <w:r w:rsidRPr="00A638D1">
        <w:rPr>
          <w:b/>
          <w:szCs w:val="28"/>
          <w:lang w:val="en-US"/>
        </w:rPr>
        <w:t>V</w:t>
      </w:r>
      <w:r w:rsidRPr="00A638D1">
        <w:rPr>
          <w:b/>
          <w:szCs w:val="28"/>
        </w:rPr>
        <w:t>. Работа с архивным фондом</w:t>
      </w:r>
    </w:p>
    <w:p w:rsidR="006F24C7" w:rsidRDefault="006F24C7" w:rsidP="006F24C7">
      <w:pPr>
        <w:ind w:left="851" w:hanging="851"/>
        <w:contextualSpacing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A638D1">
        <w:rPr>
          <w:szCs w:val="28"/>
        </w:rPr>
        <w:t>1. Работа с бумажным носителем (</w:t>
      </w:r>
      <w:r>
        <w:rPr>
          <w:szCs w:val="28"/>
        </w:rPr>
        <w:t xml:space="preserve">сохранность, </w:t>
      </w:r>
      <w:r w:rsidRPr="00A638D1">
        <w:rPr>
          <w:szCs w:val="28"/>
        </w:rPr>
        <w:t>переплет, реставрация</w:t>
      </w:r>
      <w:r>
        <w:rPr>
          <w:szCs w:val="28"/>
        </w:rPr>
        <w:t xml:space="preserve">, передача на государственное хранение): </w:t>
      </w: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- передано на государственное хранение в государственный архив 2 метрических книги за 1915 год;</w:t>
      </w:r>
    </w:p>
    <w:p w:rsidR="006F24C7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          - передано на хранение в районный  архив (в государственном архиве имеются вторые экземпляры книг за 1915 год) 12 метрических книг;</w:t>
      </w:r>
    </w:p>
    <w:p w:rsidR="006F24C7" w:rsidRDefault="006F24C7" w:rsidP="006F24C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в целях улучшения сохранности книг записей актов гражданского состояния, приобретены металлические шкафы с антресолями для хранения архивных документов;</w:t>
      </w:r>
    </w:p>
    <w:p w:rsidR="006F24C7" w:rsidRPr="00A638D1" w:rsidRDefault="006F24C7" w:rsidP="006F24C7">
      <w:pPr>
        <w:contextualSpacing/>
        <w:jc w:val="both"/>
        <w:rPr>
          <w:szCs w:val="28"/>
        </w:rPr>
      </w:pPr>
      <w:r>
        <w:rPr>
          <w:szCs w:val="28"/>
        </w:rPr>
        <w:t xml:space="preserve">           - на 2016 год запланировано переплести более 100 дел.</w:t>
      </w: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  <w:r>
        <w:rPr>
          <w:szCs w:val="28"/>
        </w:rPr>
        <w:t xml:space="preserve">          2. Работа с электронной базой записей актов гражданского состояния 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сверка бумажного носителя с электронным, проверено 7000 записей актов,  проблемы: возникающие в работе с электронной базой: медленно идет поиск актовой записи в электронном варианте (в программе МАИС «ЗАГС» т.п.).</w:t>
      </w:r>
    </w:p>
    <w:p w:rsidR="006F24C7" w:rsidRDefault="006F24C7" w:rsidP="006F24C7">
      <w:pPr>
        <w:ind w:left="851" w:hanging="851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C344B7">
        <w:rPr>
          <w:b/>
          <w:szCs w:val="28"/>
          <w:lang w:val="en-US"/>
        </w:rPr>
        <w:t>VI</w:t>
      </w:r>
      <w:r w:rsidRPr="00C344B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C344B7">
        <w:rPr>
          <w:b/>
          <w:szCs w:val="28"/>
        </w:rPr>
        <w:t>Материально-техническое обеспечение</w:t>
      </w:r>
    </w:p>
    <w:p w:rsidR="006F24C7" w:rsidRDefault="006F24C7" w:rsidP="006F24C7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lastRenderedPageBreak/>
        <w:t>Расходы финансовых средств федерального  и местного бюджета (приложение формы № 6 ,7, 8)</w:t>
      </w:r>
    </w:p>
    <w:p w:rsidR="006F24C7" w:rsidRDefault="006F24C7" w:rsidP="006F24C7">
      <w:pPr>
        <w:numPr>
          <w:ilvl w:val="1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 xml:space="preserve">Субвенция </w:t>
      </w:r>
      <w:proofErr w:type="gramStart"/>
      <w:r>
        <w:rPr>
          <w:szCs w:val="28"/>
        </w:rPr>
        <w:t xml:space="preserve">потрачена:   </w:t>
      </w:r>
      <w:proofErr w:type="gramEnd"/>
      <w:r>
        <w:rPr>
          <w:szCs w:val="28"/>
        </w:rPr>
        <w:t xml:space="preserve">                                                            в </w:t>
      </w:r>
      <w:proofErr w:type="spellStart"/>
      <w:r>
        <w:rPr>
          <w:szCs w:val="28"/>
        </w:rPr>
        <w:t>тыс.руб</w:t>
      </w:r>
      <w:proofErr w:type="spellEnd"/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заработную плату и начисления на заработную плату: 810,0;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оплату услуг связи: 56,0;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оплату коммунальных услуг: 20,0;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содержание имущества: 10,</w:t>
      </w:r>
      <w:proofErr w:type="gramStart"/>
      <w:r>
        <w:rPr>
          <w:szCs w:val="28"/>
        </w:rPr>
        <w:t>0 ;</w:t>
      </w:r>
      <w:proofErr w:type="gramEnd"/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прочие расходы: приобретение МФУ - 21,</w:t>
      </w:r>
      <w:proofErr w:type="gramStart"/>
      <w:r>
        <w:rPr>
          <w:szCs w:val="28"/>
        </w:rPr>
        <w:t>0 ,</w:t>
      </w:r>
      <w:proofErr w:type="gramEnd"/>
      <w:r>
        <w:rPr>
          <w:szCs w:val="28"/>
        </w:rPr>
        <w:t xml:space="preserve"> металлических шкафов с антресолями - 53,0 , </w:t>
      </w:r>
      <w:proofErr w:type="spellStart"/>
      <w:r>
        <w:rPr>
          <w:szCs w:val="28"/>
        </w:rPr>
        <w:t>матер.запасы</w:t>
      </w:r>
      <w:proofErr w:type="spellEnd"/>
      <w:r>
        <w:rPr>
          <w:szCs w:val="28"/>
        </w:rPr>
        <w:t xml:space="preserve"> - 12,0,  изготовление журналов и переплет документов – 9,8;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 xml:space="preserve">по сельским поселениям: 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118,0 приобретено мебели;</w:t>
      </w:r>
    </w:p>
    <w:p w:rsidR="006F24C7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27,10 произведен ремонт кабинета;</w:t>
      </w:r>
    </w:p>
    <w:p w:rsidR="006F24C7" w:rsidRPr="0024117A" w:rsidRDefault="006F24C7" w:rsidP="006F24C7">
      <w:pPr>
        <w:ind w:left="1790"/>
        <w:contextualSpacing/>
        <w:jc w:val="both"/>
        <w:rPr>
          <w:szCs w:val="28"/>
        </w:rPr>
      </w:pPr>
      <w:r>
        <w:rPr>
          <w:szCs w:val="28"/>
        </w:rPr>
        <w:t>- на 135,40 приобретены материальные запасы;</w:t>
      </w: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. Задачи на следующий год </w:t>
      </w: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  <w:r w:rsidRPr="00776204">
        <w:rPr>
          <w:szCs w:val="28"/>
        </w:rPr>
        <w:t xml:space="preserve">1. </w:t>
      </w:r>
      <w:r>
        <w:rPr>
          <w:szCs w:val="28"/>
        </w:rPr>
        <w:t>С</w:t>
      </w:r>
      <w:r w:rsidRPr="00776204">
        <w:rPr>
          <w:szCs w:val="28"/>
        </w:rPr>
        <w:t>верка</w:t>
      </w:r>
      <w:r>
        <w:rPr>
          <w:szCs w:val="28"/>
        </w:rPr>
        <w:t xml:space="preserve"> бумажного носителя с электронным;</w:t>
      </w: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  <w:r>
        <w:rPr>
          <w:szCs w:val="28"/>
        </w:rPr>
        <w:t>2. Переплет книг записей актов гражданского состояния;</w:t>
      </w: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  <w:r>
        <w:rPr>
          <w:szCs w:val="28"/>
        </w:rPr>
        <w:t>3. Приобретение металлических шкафов с антресолями;</w:t>
      </w: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  <w:r>
        <w:rPr>
          <w:szCs w:val="28"/>
        </w:rPr>
        <w:t>4. Продолжение работы по созданию электронной базы;</w:t>
      </w: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  <w:bookmarkStart w:id="0" w:name="_GoBack"/>
      <w:bookmarkEnd w:id="0"/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6F24C7" w:rsidRDefault="006F24C7" w:rsidP="006F24C7">
      <w:pPr>
        <w:ind w:left="567" w:hanging="567"/>
        <w:contextualSpacing/>
        <w:jc w:val="both"/>
        <w:rPr>
          <w:b/>
          <w:szCs w:val="28"/>
        </w:rPr>
      </w:pPr>
    </w:p>
    <w:p w:rsidR="00753EEE" w:rsidRDefault="00753EEE" w:rsidP="006F24C7">
      <w:pPr>
        <w:contextualSpacing/>
      </w:pPr>
    </w:p>
    <w:sectPr w:rsidR="00753EEE" w:rsidSect="006F24C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24D"/>
    <w:multiLevelType w:val="hybridMultilevel"/>
    <w:tmpl w:val="F4B68C4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7C53499"/>
    <w:multiLevelType w:val="hybridMultilevel"/>
    <w:tmpl w:val="C0143E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7231"/>
    <w:multiLevelType w:val="hybridMultilevel"/>
    <w:tmpl w:val="32BCDAA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1CC0349"/>
    <w:multiLevelType w:val="hybridMultilevel"/>
    <w:tmpl w:val="D08E8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872ED"/>
    <w:multiLevelType w:val="hybridMultilevel"/>
    <w:tmpl w:val="923A4E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92306CE"/>
    <w:multiLevelType w:val="hybridMultilevel"/>
    <w:tmpl w:val="9318A8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F7F0B"/>
    <w:multiLevelType w:val="hybridMultilevel"/>
    <w:tmpl w:val="033C5D7A"/>
    <w:lvl w:ilvl="0" w:tplc="9442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36CC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1FC"/>
    <w:multiLevelType w:val="hybridMultilevel"/>
    <w:tmpl w:val="C6808F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3C2F9F"/>
    <w:multiLevelType w:val="hybridMultilevel"/>
    <w:tmpl w:val="7ED2E6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4"/>
    <w:rsid w:val="00394087"/>
    <w:rsid w:val="006F24C7"/>
    <w:rsid w:val="00753EEE"/>
    <w:rsid w:val="009D3354"/>
    <w:rsid w:val="009F518D"/>
    <w:rsid w:val="00A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AAA3-BD4C-4BF3-8778-5D7B690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Чегодаева А В</dc:creator>
  <cp:keywords/>
  <dc:description/>
  <cp:lastModifiedBy>Пользователь Windows</cp:lastModifiedBy>
  <cp:revision>2</cp:revision>
  <dcterms:created xsi:type="dcterms:W3CDTF">2019-05-30T05:31:00Z</dcterms:created>
  <dcterms:modified xsi:type="dcterms:W3CDTF">2019-05-30T05:31:00Z</dcterms:modified>
</cp:coreProperties>
</file>