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7"/>
        <w:gridCol w:w="4253"/>
      </w:tblGrid>
      <w:tr w:rsidR="00B97C54" w:rsidRPr="00B97C54" w:rsidTr="00B97C54">
        <w:trPr>
          <w:trHeight w:val="3594"/>
        </w:trPr>
        <w:tc>
          <w:tcPr>
            <w:tcW w:w="5495" w:type="dxa"/>
          </w:tcPr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7C2646" wp14:editId="2B04FA56">
                  <wp:extent cx="542925" cy="6000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6E0DB6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B97C54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26301A" w:rsidRPr="0026301A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2A90" w:rsidRPr="00B97C54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A71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1C2E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1C2E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13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  №</w:t>
            </w:r>
            <w:r w:rsidR="00D703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</w:t>
            </w:r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97C54" w:rsidRPr="00B97C54" w:rsidRDefault="00B97C54" w:rsidP="00B9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97C54" w:rsidRPr="00B97C54" w:rsidRDefault="00B97C54" w:rsidP="00B97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7C54" w:rsidRPr="00B97C54" w:rsidRDefault="00B97C54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5070"/>
        <w:gridCol w:w="4335"/>
      </w:tblGrid>
      <w:tr w:rsidR="006E0DB6" w:rsidRPr="006E0DB6" w:rsidTr="006E0DB6">
        <w:tc>
          <w:tcPr>
            <w:tcW w:w="5070" w:type="dxa"/>
            <w:hideMark/>
          </w:tcPr>
          <w:p w:rsidR="006656CB" w:rsidRPr="006656CB" w:rsidRDefault="006656CB" w:rsidP="00665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санкционирования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proofErr w:type="gramEnd"/>
          </w:p>
          <w:p w:rsidR="006656CB" w:rsidRPr="006656CB" w:rsidRDefault="006656CB" w:rsidP="00665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,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исполнению</w:t>
            </w:r>
          </w:p>
          <w:p w:rsidR="006656CB" w:rsidRPr="006656CB" w:rsidRDefault="006656CB" w:rsidP="00665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</w:pP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6656CB"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  <w:t xml:space="preserve"> </w:t>
            </w:r>
            <w:r w:rsidRPr="0066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  <w:p w:rsidR="006E0DB6" w:rsidRPr="006E0DB6" w:rsidRDefault="006E0DB6" w:rsidP="00E34C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eastAsia="ru-RU"/>
              </w:rPr>
            </w:pPr>
          </w:p>
        </w:tc>
        <w:tc>
          <w:tcPr>
            <w:tcW w:w="4335" w:type="dxa"/>
          </w:tcPr>
          <w:p w:rsidR="006E0DB6" w:rsidRPr="006E0DB6" w:rsidRDefault="006E0DB6" w:rsidP="006E0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6CB" w:rsidRPr="006656CB" w:rsidRDefault="006E0DB6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E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6CB">
        <w:rPr>
          <w:rFonts w:ascii="Times New Roman" w:eastAsia="Calibri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</w:t>
      </w:r>
    </w:p>
    <w:p w:rsid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6CB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43">
        <w:r w:rsidRPr="006656C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подлежащих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исполнению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источникам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6656CB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Theme="minorEastAsia" w:cs="Calibri"/>
          <w:sz w:val="28"/>
          <w:szCs w:val="28"/>
          <w:lang w:eastAsia="ru-RU"/>
        </w:rPr>
      </w:pPr>
      <w:r w:rsidRPr="006656CB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6656CB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Theme="minorEastAsia" w:cs="Calibri"/>
          <w:sz w:val="28"/>
          <w:szCs w:val="28"/>
          <w:lang w:eastAsia="ru-RU"/>
        </w:rPr>
      </w:pP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</w:t>
      </w:r>
      <w:r w:rsidRPr="006656CB">
        <w:rPr>
          <w:rFonts w:eastAsiaTheme="minorEastAsia" w:cs="Calibri"/>
          <w:sz w:val="28"/>
          <w:szCs w:val="28"/>
          <w:lang w:eastAsia="ru-RU"/>
        </w:rPr>
        <w:t>4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декабря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201</w:t>
      </w:r>
      <w:r w:rsidRPr="006656CB">
        <w:rPr>
          <w:rFonts w:eastAsiaTheme="minorEastAsia" w:cs="Calibri"/>
          <w:sz w:val="28"/>
          <w:szCs w:val="28"/>
          <w:lang w:eastAsia="ru-RU"/>
        </w:rPr>
        <w:t>4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года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9">
        <w:r w:rsidRPr="006656C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</w:hyperlink>
      <w:r w:rsidRPr="006656CB">
        <w:rPr>
          <w:rFonts w:eastAsiaTheme="minorEastAsia" w:cs="Calibri"/>
          <w:color w:val="0000FF"/>
          <w:sz w:val="28"/>
          <w:szCs w:val="28"/>
          <w:lang w:eastAsia="ru-RU"/>
        </w:rPr>
        <w:t xml:space="preserve"> 26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"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Порядке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санкционирования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оплаты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денежных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обязательств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получателей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средств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бюджета района</w:t>
      </w:r>
      <w:proofErr w:type="gramEnd"/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и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администраторов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источников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финансирования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дефицита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бюджета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";</w:t>
      </w:r>
    </w:p>
    <w:p w:rsidR="006656CB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eastAsiaTheme="minorEastAsia" w:cs="Calibri"/>
          <w:sz w:val="28"/>
          <w:szCs w:val="28"/>
          <w:lang w:eastAsia="ru-RU"/>
        </w:rPr>
        <w:t>8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201</w:t>
      </w:r>
      <w:r w:rsidRPr="006656CB">
        <w:rPr>
          <w:rFonts w:eastAsiaTheme="minorEastAsia" w:cs="Calibri"/>
          <w:sz w:val="28"/>
          <w:szCs w:val="28"/>
          <w:lang w:eastAsia="ru-RU"/>
        </w:rPr>
        <w:t>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года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10">
        <w:r w:rsidRPr="006656CB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N </w:t>
        </w:r>
        <w:r w:rsidRPr="006656CB">
          <w:rPr>
            <w:rFonts w:eastAsiaTheme="minorEastAsia" w:cs="Calibri"/>
            <w:color w:val="0000FF"/>
            <w:sz w:val="28"/>
            <w:szCs w:val="28"/>
            <w:lang w:eastAsia="ru-RU"/>
          </w:rPr>
          <w:t>40</w:t>
        </w:r>
      </w:hyperlink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"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внесении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изменений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приказ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финансового отдел администрации </w:t>
      </w:r>
      <w:proofErr w:type="spellStart"/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Бузулукского</w:t>
      </w:r>
      <w:proofErr w:type="spellEnd"/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района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</w:t>
      </w:r>
      <w:r w:rsidRPr="006656CB">
        <w:rPr>
          <w:rFonts w:eastAsiaTheme="minorEastAsia" w:cs="Calibri"/>
          <w:sz w:val="28"/>
          <w:szCs w:val="28"/>
          <w:lang w:eastAsia="ru-RU"/>
        </w:rPr>
        <w:t>4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.12.201</w:t>
      </w:r>
      <w:r w:rsidRPr="006656CB">
        <w:rPr>
          <w:rFonts w:eastAsiaTheme="minorEastAsia" w:cs="Calibri"/>
          <w:sz w:val="28"/>
          <w:szCs w:val="28"/>
          <w:lang w:eastAsia="ru-RU"/>
        </w:rPr>
        <w:t>4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N </w:t>
      </w:r>
      <w:r w:rsidRPr="006656CB">
        <w:rPr>
          <w:rFonts w:eastAsiaTheme="minorEastAsia" w:cs="Calibri"/>
          <w:sz w:val="28"/>
          <w:szCs w:val="28"/>
          <w:lang w:eastAsia="ru-RU"/>
        </w:rPr>
        <w:t>26</w:t>
      </w:r>
      <w:r w:rsidR="00E04A48">
        <w:rPr>
          <w:rFonts w:ascii="Times" w:eastAsiaTheme="minorEastAsia" w:hAnsi="Times" w:cs="Calibri"/>
          <w:sz w:val="28"/>
          <w:szCs w:val="28"/>
          <w:lang w:eastAsia="ru-RU"/>
        </w:rPr>
        <w:t>".</w:t>
      </w:r>
    </w:p>
    <w:p w:rsidR="006656CB" w:rsidRPr="006656CB" w:rsidRDefault="006656CB" w:rsidP="00B34D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3. Настоящий приказ вступает в силу с момента его подписания и подлежит размещению в сети Интернет на сайте администрации </w:t>
      </w:r>
      <w:proofErr w:type="spellStart"/>
      <w:r w:rsidRPr="006656CB">
        <w:rPr>
          <w:rFonts w:ascii="Times New Roman" w:eastAsia="Calibri" w:hAnsi="Times New Roman" w:cs="Times New Roman"/>
          <w:sz w:val="28"/>
          <w:szCs w:val="28"/>
        </w:rPr>
        <w:lastRenderedPageBreak/>
        <w:t>Бузулукского</w:t>
      </w:r>
      <w:proofErr w:type="spellEnd"/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 района в составе информационных ресурсов финансового </w:t>
      </w:r>
      <w:r w:rsidR="004F6ECF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6656C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656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56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Ю.А. Ярыгина</w:t>
      </w: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F39FC" w:rsidRDefault="00AF39FC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F39FC" w:rsidRDefault="00AF39FC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710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3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D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Start w:id="0" w:name="_GoBack"/>
      <w:bookmarkEnd w:id="0"/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bookmarkStart w:id="1" w:name="P42"/>
      <w:bookmarkEnd w:id="1"/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санкционирования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получателей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местног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денежных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подлежащих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исполнению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бюджетных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ассигнований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источникам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дефицита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" w:eastAsiaTheme="minorEastAsia" w:hAnsi="Times" w:cs="Calibr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b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бюджета</w:t>
      </w: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</w:p>
    <w:p w:rsidR="00B34DA5" w:rsidRPr="00B34DA5" w:rsidRDefault="00B34DA5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" w:eastAsiaTheme="minorEastAsia" w:hAnsi="Times" w:cs="Calibri"/>
          <w:sz w:val="28"/>
          <w:szCs w:val="28"/>
          <w:lang w:eastAsia="ru-RU"/>
        </w:rPr>
        <w:t>–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управление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2.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</w:t>
      </w:r>
      <w:proofErr w:type="spellStart"/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уравление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казначейского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казначейского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обслуживания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2" w:name="P52"/>
      <w:bookmarkEnd w:id="2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3.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управление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54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4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5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5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7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пунктами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6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80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7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86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10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90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11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80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пунктами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7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hyperlink w:anchor="P85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9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управление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3" w:name="P54"/>
      <w:bookmarkEnd w:id="3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4.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1) </w:t>
      </w:r>
      <w:r w:rsidRPr="00032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2)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lastRenderedPageBreak/>
        <w:t xml:space="preserve">3)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32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произвести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уникального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недвижимости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4)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банковских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КПП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5)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 управлении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6)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реквизитах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переводе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бюджетную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4" w:name="P61"/>
      <w:bookmarkEnd w:id="4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7)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возникают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proofErr w:type="gramStart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8)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поставке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накладная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-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-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-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командировкам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командировании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расходах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судебный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" w:eastAsiaTheme="minorEastAsia" w:hAnsi="Times" w:cs="Calibri"/>
          <w:sz w:val="28"/>
          <w:szCs w:val="28"/>
          <w:lang w:eastAsia="ru-RU"/>
        </w:rPr>
        <w:t xml:space="preserve">муниципального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арендной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муниципальному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контракту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gramEnd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осуществлении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арендной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9)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11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абзацем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</w:t>
        </w:r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вторым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</w:t>
        </w:r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1 </w:t>
        </w:r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статьи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78.1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12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1 </w:t>
        </w:r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статьи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78.2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5" w:name="P64"/>
      <w:bookmarkEnd w:id="5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10)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</w:t>
      </w:r>
      <w:proofErr w:type="gramEnd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6" w:name="P65"/>
      <w:bookmarkEnd w:id="6"/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5.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1">
        <w:r w:rsidRPr="00890B1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подпунктов</w:t>
        </w:r>
        <w:r w:rsidRPr="00890B17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7</w:t>
        </w:r>
      </w:hyperlink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hyperlink w:anchor="P64">
        <w:r w:rsidRPr="00890B17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10 </w:t>
        </w:r>
        <w:r w:rsidRPr="00890B1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</w:t>
        </w:r>
        <w:r w:rsidRPr="00890B17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4</w:t>
        </w:r>
      </w:hyperlink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применяются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получателям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осуществляющим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средствами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счетах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открытых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Центрального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банка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кредитной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89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890B17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1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подпункта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7 </w:t>
        </w:r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4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применяются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поставку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7" w:name="P67"/>
      <w:bookmarkEnd w:id="7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6.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2)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3)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текстовому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4)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остатков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лицевом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уникальным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недвижимого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5)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КПП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банковских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КПП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банковским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6)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казначейские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7)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идентичность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proofErr w:type="gramStart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8)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рассчитанной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разница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многократно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);</w:t>
      </w:r>
      <w:proofErr w:type="gramEnd"/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9)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уникального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недвижимого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информатизации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10)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11)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закупок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возникшем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12)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авансового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spellStart"/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8" w:name="P80"/>
      <w:bookmarkEnd w:id="8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lastRenderedPageBreak/>
        <w:t xml:space="preserve">7.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E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управление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подписанные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одновременным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F17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этапах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="00F17824">
        <w:rPr>
          <w:rFonts w:ascii="Times" w:eastAsiaTheme="minorEastAsia" w:hAnsi="Times" w:cs="Calibri"/>
          <w:sz w:val="28"/>
          <w:szCs w:val="28"/>
          <w:lang w:eastAsia="ru-RU"/>
        </w:rPr>
        <w:t xml:space="preserve"> и реестра платежных поручений, подписанного лицами, имеющими право первой и второй подписи, заверенного печатью.</w:t>
      </w:r>
      <w:proofErr w:type="gramEnd"/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распорядитель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обслуживаемый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централизованной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правильности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</w:t>
      </w:r>
      <w:proofErr w:type="gramEnd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7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6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равенства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9" w:name="P84"/>
      <w:bookmarkEnd w:id="9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8.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возникших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реконструкция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67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6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10" w:name="P85"/>
      <w:bookmarkEnd w:id="10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9.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возникшего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обусловленному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предусматривающим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-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неустойки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штрафа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закупок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управление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неустойки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штрафа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пеней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="002C7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).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11" w:name="P86"/>
      <w:bookmarkEnd w:id="11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10.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lastRenderedPageBreak/>
        <w:t xml:space="preserve">1)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2)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текстовому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3)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остатками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bookmarkStart w:id="12" w:name="P90"/>
      <w:bookmarkEnd w:id="12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11.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2)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текстовому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;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3) </w:t>
      </w:r>
      <w:proofErr w:type="spell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остаткам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(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)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12. </w:t>
      </w:r>
      <w:proofErr w:type="gramStart"/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52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пунктами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3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54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4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67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6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80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7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84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8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hyperlink w:anchor="P86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10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90"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>11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85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9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EB6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управления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сроков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w:anchor="P52">
        <w:r w:rsidRPr="00B34DA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</w:t>
        </w:r>
        <w:r w:rsidRPr="00B34DA5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 3</w:t>
        </w:r>
      </w:hyperlink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отклоняет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отклонения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  <w:proofErr w:type="gramEnd"/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13.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установленными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платежное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поручение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P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Принятые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исполнению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исполняются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казначейском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счете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которому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представлены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остатка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,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достаточного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B34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</w:t>
      </w:r>
      <w:r w:rsidRPr="00B34DA5">
        <w:rPr>
          <w:rFonts w:ascii="Times" w:eastAsiaTheme="minorEastAsia" w:hAnsi="Times" w:cs="Calibri"/>
          <w:sz w:val="28"/>
          <w:szCs w:val="28"/>
          <w:lang w:eastAsia="ru-RU"/>
        </w:rPr>
        <w:t>.</w:t>
      </w:r>
    </w:p>
    <w:p w:rsidR="00B34DA5" w:rsidRDefault="00B34DA5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2C7497">
        <w:rPr>
          <w:rFonts w:ascii="Times" w:eastAsiaTheme="minorEastAsia" w:hAnsi="Times" w:cs="Calibri"/>
          <w:sz w:val="28"/>
          <w:szCs w:val="28"/>
          <w:lang w:eastAsia="ru-RU"/>
        </w:rPr>
        <w:t xml:space="preserve">14. </w:t>
      </w:r>
      <w:proofErr w:type="gramStart"/>
      <w:r w:rsidR="002C7497">
        <w:rPr>
          <w:rFonts w:ascii="Times" w:eastAsiaTheme="minorEastAsia" w:hAnsi="Times" w:cs="Calibri"/>
          <w:sz w:val="28"/>
          <w:szCs w:val="28"/>
          <w:lang w:eastAsia="ru-RU"/>
        </w:rPr>
        <w:t>При исполнении местного бюджета по операциям с межбюджетными трансфертами, предоставляемыми из федерального бюджета в форме субвенций, субсидий и иных межбюджетных трансфертов, имеющих целевое значение (далее – целевые федеральные средства), управление финансов представляет в УФК по Оренбургской области распоряжение о совершение казначейских платежей по форме, установленной приказом Казначейства от 14.05.2020г. № 21н «О порядке казначейского обслуживания».</w:t>
      </w:r>
      <w:proofErr w:type="gramEnd"/>
    </w:p>
    <w:p w:rsidR="002C7497" w:rsidRPr="00B34DA5" w:rsidRDefault="002C7497" w:rsidP="00B34DA5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>
        <w:rPr>
          <w:rFonts w:ascii="Times" w:eastAsiaTheme="minorEastAsia" w:hAnsi="Times" w:cs="Calibri"/>
          <w:sz w:val="28"/>
          <w:szCs w:val="28"/>
          <w:lang w:eastAsia="ru-RU"/>
        </w:rPr>
        <w:t>При этом оплата денежных обязательств за счет целевых федеральных средств осуществляется в размере, не превышающем предельные объемы финансирования</w:t>
      </w:r>
      <w:r w:rsidR="00630584">
        <w:rPr>
          <w:rFonts w:ascii="Times" w:eastAsiaTheme="minorEastAsia" w:hAnsi="Times" w:cs="Calibri"/>
          <w:sz w:val="28"/>
          <w:szCs w:val="28"/>
          <w:lang w:eastAsia="ru-RU"/>
        </w:rPr>
        <w:t xml:space="preserve"> главного распорядителя бюджетных средств.</w:t>
      </w:r>
    </w:p>
    <w:sectPr w:rsidR="002C7497" w:rsidRPr="00B34DA5" w:rsidSect="0058214E">
      <w:headerReference w:type="default" r:id="rId13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D" w:rsidRDefault="00EE16BD" w:rsidP="00CC288A">
      <w:pPr>
        <w:spacing w:after="0" w:line="240" w:lineRule="auto"/>
      </w:pPr>
      <w:r>
        <w:separator/>
      </w:r>
    </w:p>
  </w:endnote>
  <w:endnote w:type="continuationSeparator" w:id="0">
    <w:p w:rsidR="00EE16BD" w:rsidRDefault="00EE16BD" w:rsidP="00CC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D" w:rsidRDefault="00EE16BD" w:rsidP="00CC288A">
      <w:pPr>
        <w:spacing w:after="0" w:line="240" w:lineRule="auto"/>
      </w:pPr>
      <w:r>
        <w:separator/>
      </w:r>
    </w:p>
  </w:footnote>
  <w:footnote w:type="continuationSeparator" w:id="0">
    <w:p w:rsidR="00EE16BD" w:rsidRDefault="00EE16BD" w:rsidP="00CC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D" w:rsidRPr="00CC288A" w:rsidRDefault="00EE16BD" w:rsidP="00CC28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B9"/>
    <w:multiLevelType w:val="hybridMultilevel"/>
    <w:tmpl w:val="3AD682E2"/>
    <w:lvl w:ilvl="0" w:tplc="D854B6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3"/>
    <w:rsid w:val="0000040D"/>
    <w:rsid w:val="0000082E"/>
    <w:rsid w:val="00006E3F"/>
    <w:rsid w:val="0002131D"/>
    <w:rsid w:val="00027937"/>
    <w:rsid w:val="000325A4"/>
    <w:rsid w:val="000644CD"/>
    <w:rsid w:val="00070427"/>
    <w:rsid w:val="00074D96"/>
    <w:rsid w:val="000752C8"/>
    <w:rsid w:val="000773AB"/>
    <w:rsid w:val="00081715"/>
    <w:rsid w:val="00086F8A"/>
    <w:rsid w:val="00091E61"/>
    <w:rsid w:val="000C11F0"/>
    <w:rsid w:val="000E1604"/>
    <w:rsid w:val="000E74A6"/>
    <w:rsid w:val="000F425E"/>
    <w:rsid w:val="00103134"/>
    <w:rsid w:val="001109CC"/>
    <w:rsid w:val="001126A5"/>
    <w:rsid w:val="00133B95"/>
    <w:rsid w:val="00157FAE"/>
    <w:rsid w:val="001A0A1D"/>
    <w:rsid w:val="001A444B"/>
    <w:rsid w:val="001C2ECA"/>
    <w:rsid w:val="001C30E9"/>
    <w:rsid w:val="001E52EE"/>
    <w:rsid w:val="00210F1A"/>
    <w:rsid w:val="00216A22"/>
    <w:rsid w:val="00226B12"/>
    <w:rsid w:val="00227C85"/>
    <w:rsid w:val="002523BF"/>
    <w:rsid w:val="0026301A"/>
    <w:rsid w:val="00275E90"/>
    <w:rsid w:val="00291540"/>
    <w:rsid w:val="00293231"/>
    <w:rsid w:val="002A2115"/>
    <w:rsid w:val="002A37C4"/>
    <w:rsid w:val="002C3997"/>
    <w:rsid w:val="002C7497"/>
    <w:rsid w:val="002C78ED"/>
    <w:rsid w:val="002D314E"/>
    <w:rsid w:val="002E59B1"/>
    <w:rsid w:val="002F2B1E"/>
    <w:rsid w:val="00302BC6"/>
    <w:rsid w:val="003229EB"/>
    <w:rsid w:val="00322E0B"/>
    <w:rsid w:val="00326174"/>
    <w:rsid w:val="003433C4"/>
    <w:rsid w:val="0035227B"/>
    <w:rsid w:val="00362AB1"/>
    <w:rsid w:val="003764D8"/>
    <w:rsid w:val="00382161"/>
    <w:rsid w:val="003F3EF0"/>
    <w:rsid w:val="004131AF"/>
    <w:rsid w:val="004249EC"/>
    <w:rsid w:val="00436829"/>
    <w:rsid w:val="0044238A"/>
    <w:rsid w:val="00447AD6"/>
    <w:rsid w:val="00450844"/>
    <w:rsid w:val="00451097"/>
    <w:rsid w:val="00457B24"/>
    <w:rsid w:val="00473818"/>
    <w:rsid w:val="00484BA0"/>
    <w:rsid w:val="00485A41"/>
    <w:rsid w:val="004A6E82"/>
    <w:rsid w:val="004B35DD"/>
    <w:rsid w:val="004F6ECF"/>
    <w:rsid w:val="004F7239"/>
    <w:rsid w:val="005140FA"/>
    <w:rsid w:val="00517A3A"/>
    <w:rsid w:val="00520ACC"/>
    <w:rsid w:val="0052735B"/>
    <w:rsid w:val="00561781"/>
    <w:rsid w:val="00563C35"/>
    <w:rsid w:val="0058214E"/>
    <w:rsid w:val="00590D35"/>
    <w:rsid w:val="005B05AA"/>
    <w:rsid w:val="005C4124"/>
    <w:rsid w:val="005C71BA"/>
    <w:rsid w:val="005E3E0C"/>
    <w:rsid w:val="005F2AF1"/>
    <w:rsid w:val="005F631D"/>
    <w:rsid w:val="0060420F"/>
    <w:rsid w:val="0060784C"/>
    <w:rsid w:val="0061129B"/>
    <w:rsid w:val="00612DFD"/>
    <w:rsid w:val="00616CC2"/>
    <w:rsid w:val="0062671F"/>
    <w:rsid w:val="0062702D"/>
    <w:rsid w:val="00630584"/>
    <w:rsid w:val="006331DA"/>
    <w:rsid w:val="00634EF8"/>
    <w:rsid w:val="006373E7"/>
    <w:rsid w:val="006656CB"/>
    <w:rsid w:val="006832E0"/>
    <w:rsid w:val="006933CD"/>
    <w:rsid w:val="006A0B73"/>
    <w:rsid w:val="006D56D1"/>
    <w:rsid w:val="006E06C6"/>
    <w:rsid w:val="006E0DB6"/>
    <w:rsid w:val="00713CD4"/>
    <w:rsid w:val="00725950"/>
    <w:rsid w:val="00750C0D"/>
    <w:rsid w:val="00757433"/>
    <w:rsid w:val="007A0213"/>
    <w:rsid w:val="007B5CBD"/>
    <w:rsid w:val="007D4F7B"/>
    <w:rsid w:val="007D79D3"/>
    <w:rsid w:val="007E32F8"/>
    <w:rsid w:val="007E797B"/>
    <w:rsid w:val="007F13A0"/>
    <w:rsid w:val="00852FB0"/>
    <w:rsid w:val="00855039"/>
    <w:rsid w:val="00871EB6"/>
    <w:rsid w:val="00872D23"/>
    <w:rsid w:val="00876666"/>
    <w:rsid w:val="00881A39"/>
    <w:rsid w:val="00890B17"/>
    <w:rsid w:val="008935AA"/>
    <w:rsid w:val="0089388D"/>
    <w:rsid w:val="008A1282"/>
    <w:rsid w:val="008A3B24"/>
    <w:rsid w:val="008B220D"/>
    <w:rsid w:val="008B2A6B"/>
    <w:rsid w:val="008E180E"/>
    <w:rsid w:val="008E2104"/>
    <w:rsid w:val="008E2DB5"/>
    <w:rsid w:val="008E48BE"/>
    <w:rsid w:val="008F40F2"/>
    <w:rsid w:val="00912A90"/>
    <w:rsid w:val="00916656"/>
    <w:rsid w:val="00933778"/>
    <w:rsid w:val="0093695E"/>
    <w:rsid w:val="00952E15"/>
    <w:rsid w:val="009714CB"/>
    <w:rsid w:val="009740BA"/>
    <w:rsid w:val="009B1CA3"/>
    <w:rsid w:val="009B43AC"/>
    <w:rsid w:val="009B53D7"/>
    <w:rsid w:val="009C263E"/>
    <w:rsid w:val="009E7934"/>
    <w:rsid w:val="009F1737"/>
    <w:rsid w:val="009F7E53"/>
    <w:rsid w:val="00A05CAF"/>
    <w:rsid w:val="00A11C69"/>
    <w:rsid w:val="00A32D12"/>
    <w:rsid w:val="00A53C15"/>
    <w:rsid w:val="00A545E1"/>
    <w:rsid w:val="00A73BC0"/>
    <w:rsid w:val="00A902B7"/>
    <w:rsid w:val="00A94564"/>
    <w:rsid w:val="00AA0E29"/>
    <w:rsid w:val="00AA298A"/>
    <w:rsid w:val="00AA3A74"/>
    <w:rsid w:val="00AB405F"/>
    <w:rsid w:val="00AD1AE8"/>
    <w:rsid w:val="00AE47D4"/>
    <w:rsid w:val="00AE6733"/>
    <w:rsid w:val="00AF39FC"/>
    <w:rsid w:val="00B01F92"/>
    <w:rsid w:val="00B34DA5"/>
    <w:rsid w:val="00B71472"/>
    <w:rsid w:val="00B91C25"/>
    <w:rsid w:val="00B97C54"/>
    <w:rsid w:val="00BA54F3"/>
    <w:rsid w:val="00BB28FD"/>
    <w:rsid w:val="00BB6145"/>
    <w:rsid w:val="00BC5985"/>
    <w:rsid w:val="00BD6F47"/>
    <w:rsid w:val="00BE3743"/>
    <w:rsid w:val="00BE665C"/>
    <w:rsid w:val="00BF0231"/>
    <w:rsid w:val="00C00CDC"/>
    <w:rsid w:val="00C07C12"/>
    <w:rsid w:val="00C21A4A"/>
    <w:rsid w:val="00C21C3A"/>
    <w:rsid w:val="00C250B2"/>
    <w:rsid w:val="00C33655"/>
    <w:rsid w:val="00C33D78"/>
    <w:rsid w:val="00C54500"/>
    <w:rsid w:val="00C84871"/>
    <w:rsid w:val="00C85155"/>
    <w:rsid w:val="00C904B3"/>
    <w:rsid w:val="00CA22C4"/>
    <w:rsid w:val="00CB0130"/>
    <w:rsid w:val="00CC288A"/>
    <w:rsid w:val="00D071D3"/>
    <w:rsid w:val="00D12734"/>
    <w:rsid w:val="00D139D8"/>
    <w:rsid w:val="00D200C1"/>
    <w:rsid w:val="00D300E4"/>
    <w:rsid w:val="00D4275E"/>
    <w:rsid w:val="00D509BE"/>
    <w:rsid w:val="00D7032F"/>
    <w:rsid w:val="00D97E6E"/>
    <w:rsid w:val="00DA138D"/>
    <w:rsid w:val="00DA1431"/>
    <w:rsid w:val="00DB00E2"/>
    <w:rsid w:val="00DF0D6A"/>
    <w:rsid w:val="00DF32B4"/>
    <w:rsid w:val="00E04A48"/>
    <w:rsid w:val="00E26FA7"/>
    <w:rsid w:val="00E27D85"/>
    <w:rsid w:val="00E34CA2"/>
    <w:rsid w:val="00E4398F"/>
    <w:rsid w:val="00E62737"/>
    <w:rsid w:val="00E7108C"/>
    <w:rsid w:val="00E75887"/>
    <w:rsid w:val="00E77C09"/>
    <w:rsid w:val="00E921CD"/>
    <w:rsid w:val="00EA0038"/>
    <w:rsid w:val="00EA7107"/>
    <w:rsid w:val="00EB68D4"/>
    <w:rsid w:val="00EB6E57"/>
    <w:rsid w:val="00ED44D2"/>
    <w:rsid w:val="00ED7221"/>
    <w:rsid w:val="00EE16BD"/>
    <w:rsid w:val="00EF261B"/>
    <w:rsid w:val="00EF7A1C"/>
    <w:rsid w:val="00F0686A"/>
    <w:rsid w:val="00F104B0"/>
    <w:rsid w:val="00F16B40"/>
    <w:rsid w:val="00F17824"/>
    <w:rsid w:val="00F24E9E"/>
    <w:rsid w:val="00F56FE7"/>
    <w:rsid w:val="00F57C92"/>
    <w:rsid w:val="00F60AB9"/>
    <w:rsid w:val="00F871F7"/>
    <w:rsid w:val="00FA45F3"/>
    <w:rsid w:val="00FC7C57"/>
    <w:rsid w:val="00FD1C8B"/>
    <w:rsid w:val="00FE0FF2"/>
    <w:rsid w:val="00FE1D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paragraph" w:styleId="1">
    <w:name w:val="heading 1"/>
    <w:basedOn w:val="a"/>
    <w:next w:val="a"/>
    <w:link w:val="10"/>
    <w:uiPriority w:val="99"/>
    <w:qFormat/>
    <w:rsid w:val="00CC2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4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88A"/>
  </w:style>
  <w:style w:type="character" w:customStyle="1" w:styleId="a9">
    <w:name w:val="Цветовое выделение"/>
    <w:uiPriority w:val="99"/>
    <w:rsid w:val="00CC288A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CC288A"/>
    <w:pPr>
      <w:spacing w:before="75"/>
      <w:ind w:right="0"/>
      <w:jc w:val="both"/>
    </w:pPr>
    <w:rPr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CC288A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4DA5"/>
  </w:style>
  <w:style w:type="paragraph" w:customStyle="1" w:styleId="ConsPlusTitle">
    <w:name w:val="ConsPlusTitle"/>
    <w:rsid w:val="00B3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paragraph" w:styleId="1">
    <w:name w:val="heading 1"/>
    <w:basedOn w:val="a"/>
    <w:next w:val="a"/>
    <w:link w:val="10"/>
    <w:uiPriority w:val="99"/>
    <w:qFormat/>
    <w:rsid w:val="00CC2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4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88A"/>
  </w:style>
  <w:style w:type="character" w:customStyle="1" w:styleId="a9">
    <w:name w:val="Цветовое выделение"/>
    <w:uiPriority w:val="99"/>
    <w:rsid w:val="00CC288A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CC288A"/>
    <w:pPr>
      <w:spacing w:before="75"/>
      <w:ind w:right="0"/>
      <w:jc w:val="both"/>
    </w:pPr>
    <w:rPr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CC288A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4DA5"/>
  </w:style>
  <w:style w:type="paragraph" w:customStyle="1" w:styleId="ConsPlusTitle">
    <w:name w:val="ConsPlusTitle"/>
    <w:rsid w:val="00B3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9A77B9F9AFC2244EFBB4B66E510BE0A437862925DB46DA18792DE5AA8B4137648EC678486BB7FFA8768FACC19FF78985BDC2CCAE85TF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9A77B9F9AFC2244EFBB4B66E510BE0A437862925DB46DA18792DE5AA8B4137648EC67F4C6EB9FFA8768FACC19FF78985BDC2CCAE85TFD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9A77B9F9AFC2244EFBAABB783D56E4A03CDA262ED14B85452676B8FD824B6023C19F2D093FB2F5FD39CBFDD29CF695T8D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A77B9F9AFC2244EFBAABB783D56E4A03CDA262CD94D8840242BB2F5DB476224CEC0281C2EEAF9FD26D5F9C880F49787TBD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Шумбасов А А</dc:creator>
  <cp:lastModifiedBy>Барановская Г В</cp:lastModifiedBy>
  <cp:revision>17</cp:revision>
  <cp:lastPrinted>2023-04-13T05:00:00Z</cp:lastPrinted>
  <dcterms:created xsi:type="dcterms:W3CDTF">2023-04-11T04:38:00Z</dcterms:created>
  <dcterms:modified xsi:type="dcterms:W3CDTF">2023-04-13T10:30:00Z</dcterms:modified>
</cp:coreProperties>
</file>