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C" w:rsidRPr="0083663E" w:rsidRDefault="006C57CC" w:rsidP="006C57CC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085"/>
      </w:tblGrid>
      <w:tr w:rsidR="006C57CC" w:rsidRPr="00C437DB" w:rsidTr="001B0245">
        <w:trPr>
          <w:trHeight w:val="4072"/>
        </w:trPr>
        <w:tc>
          <w:tcPr>
            <w:tcW w:w="5353" w:type="dxa"/>
          </w:tcPr>
          <w:p w:rsidR="006C57CC" w:rsidRPr="00C437DB" w:rsidRDefault="006C57CC" w:rsidP="001B0245">
            <w:pPr>
              <w:keepNext/>
              <w:ind w:right="114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7DB"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</w:t>
            </w: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437DB">
              <w:rPr>
                <w:rFonts w:ascii="Times New Roman" w:eastAsia="Times New Roman" w:hAnsi="Times New Roman"/>
                <w:b/>
                <w:sz w:val="26"/>
                <w:szCs w:val="26"/>
              </w:rPr>
              <w:t>муниципального образования</w:t>
            </w:r>
          </w:p>
          <w:p w:rsidR="006C57CC" w:rsidRPr="00C437DB" w:rsidRDefault="001B7BF9" w:rsidP="001B0245">
            <w:pPr>
              <w:keepNext/>
              <w:ind w:right="11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Лисьеполянский</w:t>
            </w:r>
            <w:r w:rsidR="006C57CC" w:rsidRPr="00C437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437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Бузулукского района</w:t>
            </w: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437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437DB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ПОСТАНОВЛЕНИЕ</w:t>
            </w:r>
          </w:p>
          <w:p w:rsidR="006C57CC" w:rsidRPr="00C437DB" w:rsidRDefault="006C57CC" w:rsidP="001B0245">
            <w:pPr>
              <w:ind w:right="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57CC" w:rsidRPr="00C437DB" w:rsidRDefault="001B7BF9" w:rsidP="001B0245">
            <w:pPr>
              <w:ind w:right="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  <w:r w:rsidR="006C57CC">
              <w:rPr>
                <w:rFonts w:ascii="Times New Roman" w:eastAsia="Times New Roman" w:hAnsi="Times New Roman"/>
                <w:sz w:val="26"/>
                <w:szCs w:val="26"/>
              </w:rPr>
              <w:t xml:space="preserve">.11.2023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67</w:t>
            </w:r>
          </w:p>
          <w:p w:rsidR="006C57CC" w:rsidRPr="00C437DB" w:rsidRDefault="001B7BF9" w:rsidP="001B0245">
            <w:pPr>
              <w:ind w:right="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п. Лисья Поляна</w:t>
            </w:r>
          </w:p>
          <w:p w:rsidR="006C57CC" w:rsidRPr="00C437DB" w:rsidRDefault="006C57CC" w:rsidP="001B0245">
            <w:pPr>
              <w:ind w:right="114"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57CC" w:rsidRPr="006C57CC" w:rsidRDefault="006C57CC" w:rsidP="006C57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57CC">
              <w:rPr>
                <w:rFonts w:ascii="Times New Roman" w:eastAsia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      </w:r>
          </w:p>
          <w:p w:rsidR="006C57CC" w:rsidRPr="00C437DB" w:rsidRDefault="006C57CC" w:rsidP="001B02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6C57CC" w:rsidRPr="00C437DB" w:rsidRDefault="006C57CC" w:rsidP="001B02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C57CC" w:rsidRPr="00C437DB" w:rsidRDefault="006C57CC" w:rsidP="001B02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EB0CA4" w:rsidRPr="00EB0CA4" w:rsidRDefault="00EB0CA4" w:rsidP="006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DB08B7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района Оренбургской области, Администрация муниципального образования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района Оренбургской области, </w:t>
      </w:r>
      <w:r w:rsid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8B7" w:rsidRDefault="00DB08B7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DB08B7" w:rsidP="00DB08B7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EB0CA4"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8B7" w:rsidRPr="00EB0CA4" w:rsidRDefault="00DB08B7" w:rsidP="00DB08B7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B0CA4" w:rsidRPr="00EB0CA4" w:rsidRDefault="00EB0CA4" w:rsidP="00EB0CA4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B0CA4" w:rsidRPr="00EB0CA4" w:rsidRDefault="00EB0CA4" w:rsidP="00EB0CA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поссовета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Иващенко</w:t>
      </w:r>
    </w:p>
    <w:p w:rsid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CA4" w:rsidRP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>Разослано: в дело, Бузулукской межрайпрокуратуре</w:t>
      </w: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F9" w:rsidRDefault="001B7BF9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6C57C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4347" w:rsidRDefault="00EB0CA4" w:rsidP="006C57CC">
      <w:pPr>
        <w:widowControl w:val="0"/>
        <w:autoSpaceDE w:val="0"/>
        <w:autoSpaceDN w:val="0"/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Оренбургской области от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C57C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6C57CC" w:rsidRPr="00773309" w:rsidRDefault="006C57CC" w:rsidP="006C57CC">
      <w:pPr>
        <w:widowControl w:val="0"/>
        <w:autoSpaceDE w:val="0"/>
        <w:autoSpaceDN w:val="0"/>
        <w:spacing w:after="0" w:line="240" w:lineRule="auto"/>
        <w:ind w:left="510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B0CA4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EB0CA4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EB0CA4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«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»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B7BF9">
        <w:rPr>
          <w:rFonts w:ascii="Times New Roman" w:hAnsi="Times New Roman" w:cs="Times New Roman"/>
          <w:b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Бузулукского района Оренбургской области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="00EC6D7F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A0787" w:rsidRPr="004A0787">
        <w:rPr>
          <w:rFonts w:ascii="Times New Roman" w:hAnsi="Times New Roman" w:cs="Times New Roman"/>
          <w:sz w:val="28"/>
          <w:szCs w:val="28"/>
        </w:rPr>
        <w:t>«Предоставлен</w:t>
      </w:r>
      <w:r w:rsidR="004A0787">
        <w:rPr>
          <w:rFonts w:ascii="Times New Roman" w:hAnsi="Times New Roman" w:cs="Times New Roman"/>
          <w:sz w:val="28"/>
          <w:szCs w:val="28"/>
        </w:rPr>
        <w:t xml:space="preserve">ие жилого помещения по договору </w:t>
      </w:r>
      <w:r w:rsidR="004A0787" w:rsidRPr="004A0787">
        <w:rPr>
          <w:rFonts w:ascii="Times New Roman" w:hAnsi="Times New Roman" w:cs="Times New Roman"/>
          <w:sz w:val="28"/>
          <w:szCs w:val="28"/>
        </w:rPr>
        <w:t xml:space="preserve">социального найма» на территории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A0787" w:rsidRPr="004A0787">
        <w:rPr>
          <w:rFonts w:ascii="Times New Roman" w:hAnsi="Times New Roman" w:cs="Times New Roman"/>
          <w:sz w:val="28"/>
          <w:szCs w:val="28"/>
        </w:rPr>
        <w:t xml:space="preserve"> Бузулукского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1347/285-IV-ОЗ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EB0CA4">
        <w:rPr>
          <w:rFonts w:ascii="Times New Roman" w:hAnsi="Times New Roman" w:cs="Times New Roman"/>
          <w:b/>
          <w:sz w:val="28"/>
          <w:szCs w:val="28"/>
        </w:rPr>
        <w:t>з</w:t>
      </w:r>
      <w:r w:rsidRPr="00EB0CA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r w:rsidRPr="000510FF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EB0CA4" w:rsidRPr="000510F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510FF" w:rsidRPr="000510FF">
        <w:rPr>
          <w:rFonts w:ascii="Times New Roman" w:hAnsi="Times New Roman" w:cs="Times New Roman"/>
          <w:sz w:val="28"/>
          <w:szCs w:val="28"/>
        </w:rPr>
        <w:t xml:space="preserve"> </w:t>
      </w:r>
      <w:r w:rsidR="00EB0CA4" w:rsidRPr="000510FF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</w:t>
      </w:r>
      <w:r w:rsidRPr="000510FF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EB0CA4" w:rsidRPr="000510F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510FF" w:rsidRPr="000510FF">
        <w:rPr>
          <w:rFonts w:ascii="Times New Roman" w:hAnsi="Times New Roman" w:cs="Times New Roman"/>
          <w:sz w:val="28"/>
          <w:szCs w:val="28"/>
        </w:rPr>
        <w:t xml:space="preserve"> </w:t>
      </w:r>
      <w:r w:rsidR="00EB0CA4" w:rsidRPr="000510FF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</w:t>
      </w:r>
      <w:r w:rsidRPr="000510FF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</w:t>
      </w:r>
      <w:r w:rsidR="00EB0CA4" w:rsidRPr="000510FF">
        <w:rPr>
          <w:rFonts w:ascii="Times New Roman" w:hAnsi="Times New Roman" w:cs="Times New Roman"/>
          <w:sz w:val="28"/>
          <w:szCs w:val="28"/>
        </w:rPr>
        <w:t>«</w:t>
      </w:r>
      <w:r w:rsidRPr="000510F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510FF">
        <w:rPr>
          <w:rFonts w:ascii="Times New Roman" w:hAnsi="Times New Roman" w:cs="Times New Roman"/>
          <w:sz w:val="28"/>
          <w:szCs w:val="28"/>
        </w:rPr>
        <w:t xml:space="preserve">ЕПГУ) с заявлением о предоставлении муниципальной услуги малоимущие и другие категории граждан, определенные Федеральным законом, указом Президента Российской Федерации или законом </w:t>
      </w:r>
      <w:r w:rsidR="00EB0CA4" w:rsidRPr="000510F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510FF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lastRenderedPageBreak/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EB0CA4" w:rsidRDefault="004A52C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10FF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0510F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B0CA4" w:rsidRPr="000510F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510FF" w:rsidRPr="000510FF">
        <w:rPr>
          <w:rFonts w:ascii="Times New Roman" w:hAnsi="Times New Roman" w:cs="Times New Roman"/>
          <w:sz w:val="28"/>
          <w:szCs w:val="28"/>
        </w:rPr>
        <w:t xml:space="preserve"> </w:t>
      </w:r>
      <w:r w:rsidR="00EB0CA4" w:rsidRPr="000510FF">
        <w:rPr>
          <w:rFonts w:ascii="Times New Roman" w:hAnsi="Times New Roman" w:cs="Times New Roman"/>
          <w:sz w:val="28"/>
          <w:szCs w:val="28"/>
        </w:rPr>
        <w:t xml:space="preserve">Бузулукского района Оренбургской области </w:t>
      </w:r>
      <w:r w:rsidR="00CD6ECB" w:rsidRPr="000510F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0510FF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0510FF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B0CA4" w:rsidRPr="000510F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510FF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EB0CA4" w:rsidRPr="000510FF">
        <w:rPr>
          <w:rFonts w:ascii="Times New Roman" w:hAnsi="Times New Roman" w:cs="Times New Roman"/>
          <w:sz w:val="28"/>
          <w:szCs w:val="28"/>
        </w:rPr>
        <w:t>: дата, номер, категория заявителя, состав семьи заявителя.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EB0CA4" w:rsidRPr="000510FF">
        <w:rPr>
          <w:rFonts w:ascii="Times New Roman" w:hAnsi="Times New Roman" w:cs="Times New Roman"/>
          <w:sz w:val="28"/>
          <w:szCs w:val="28"/>
        </w:rPr>
        <w:t>ЕПГУ</w:t>
      </w:r>
      <w:r w:rsidRPr="000510FF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FD4F35" w:rsidRPr="007D430E" w:rsidRDefault="00E74347" w:rsidP="007D4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Pr="00773309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</w:t>
      </w:r>
      <w:r w:rsidR="00EB0CA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черно-белый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оттенки серого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цветной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35">
        <w:rPr>
          <w:rFonts w:ascii="Times New Roman" w:hAnsi="Times New Roman" w:cs="Times New Roman"/>
          <w:b/>
          <w:sz w:val="28"/>
          <w:szCs w:val="28"/>
        </w:rPr>
        <w:t>п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редоставления муниципальной услуги </w:t>
      </w:r>
      <w:r w:rsidRPr="00EB0C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B0CA4" w:rsidRPr="00EB0CA4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МФЦ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B0CA4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B0CA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B1B" w:rsidRPr="006C0B1B">
        <w:rPr>
          <w:rFonts w:ascii="Times New Roman" w:hAnsi="Times New Roman" w:cs="Times New Roman"/>
          <w:sz w:val="28"/>
          <w:szCs w:val="28"/>
        </w:rPr>
        <w:t xml:space="preserve"> </w:t>
      </w:r>
      <w:r w:rsidR="00EB0CA4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EB0CA4">
        <w:rPr>
          <w:rFonts w:ascii="Times New Roman" w:hAnsi="Times New Roman" w:cs="Times New Roman"/>
          <w:b/>
          <w:sz w:val="28"/>
          <w:szCs w:val="28"/>
        </w:rPr>
        <w:t>д</w:t>
      </w:r>
      <w:r w:rsidRPr="00EB0CA4">
        <w:rPr>
          <w:rFonts w:ascii="Times New Roman" w:hAnsi="Times New Roman" w:cs="Times New Roman"/>
          <w:b/>
          <w:sz w:val="28"/>
          <w:szCs w:val="28"/>
        </w:rPr>
        <w:t>окументах и созданных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E74347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EB0CA4" w:rsidRPr="00773309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DE0DD9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1B7BF9">
        <w:rPr>
          <w:rFonts w:ascii="Times New Roman" w:hAnsi="Times New Roman" w:cs="Times New Roman"/>
          <w:i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6C0B1B" w:rsidRPr="006C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CA4">
        <w:rPr>
          <w:rFonts w:ascii="Times New Roman" w:hAnsi="Times New Roman" w:cs="Times New Roman"/>
          <w:i/>
          <w:sz w:val="28"/>
          <w:szCs w:val="28"/>
        </w:rPr>
        <w:t>Бузулукского ра</w:t>
      </w:r>
      <w:r w:rsidR="00DE0DD9">
        <w:rPr>
          <w:rFonts w:ascii="Times New Roman" w:hAnsi="Times New Roman" w:cs="Times New Roman"/>
          <w:i/>
          <w:sz w:val="28"/>
          <w:szCs w:val="28"/>
        </w:rPr>
        <w:t>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Предоставление жилого помещения по договору социального найма </w:t>
      </w:r>
    </w:p>
    <w:p w:rsidR="00FD4F35" w:rsidRPr="0077330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C4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E90378" w:rsidRPr="00D431C4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D431C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0812F3" w:rsidRPr="000812F3">
        <w:rPr>
          <w:rFonts w:ascii="Times New Roman" w:hAnsi="Times New Roman" w:cs="Times New Roman"/>
          <w:color w:val="C00000"/>
          <w:sz w:val="28"/>
          <w:szCs w:val="28"/>
        </w:rPr>
        <w:t>Услуга предоставляется не позднее чем через 25 рабочих дней со дня представления документов</w:t>
      </w:r>
      <w:r w:rsidR="000812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DE0DD9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E0DD9" w:rsidRPr="00773309" w:rsidRDefault="00DE0DD9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D4F35" w:rsidRPr="00DE0DD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DE0DD9">
        <w:rPr>
          <w:rFonts w:ascii="Times New Roman" w:hAnsi="Times New Roman" w:cs="Times New Roman"/>
          <w:sz w:val="28"/>
          <w:szCs w:val="28"/>
        </w:rPr>
        <w:t xml:space="preserve">3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71F32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DE0DD9" w:rsidRPr="00773309" w:rsidRDefault="00DE0DD9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E0DD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E341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180" w:rsidRPr="00E34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4180" w:rsidRPr="00E34180">
        <w:rPr>
          <w:rFonts w:ascii="Times New Roman" w:hAnsi="Times New Roman" w:cs="Times New Roman"/>
          <w:sz w:val="28"/>
          <w:szCs w:val="28"/>
        </w:rPr>
        <w:t xml:space="preserve"> Бузулукского района Оренбургской области</w:t>
      </w:r>
      <w:r w:rsidR="00E74347" w:rsidRPr="00E34180">
        <w:rPr>
          <w:rFonts w:ascii="Times New Roman" w:hAnsi="Times New Roman" w:cs="Times New Roman"/>
          <w:sz w:val="28"/>
          <w:szCs w:val="28"/>
        </w:rPr>
        <w:t>, уполномоченными на осуществление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контроля за предоставлением муниципальной услуги.</w:t>
      </w:r>
    </w:p>
    <w:p w:rsidR="00E74347" w:rsidRPr="00E34180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34180" w:rsidRPr="00E3418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B7BF9">
        <w:rPr>
          <w:rFonts w:ascii="Times New Roman" w:hAnsi="Times New Roman" w:cs="Times New Roman"/>
          <w:sz w:val="28"/>
          <w:szCs w:val="28"/>
        </w:rPr>
        <w:t>Лисьеполянский</w:t>
      </w:r>
      <w:r w:rsidR="00D431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4180" w:rsidRPr="00E34180">
        <w:rPr>
          <w:rFonts w:ascii="Times New Roman" w:hAnsi="Times New Roman" w:cs="Times New Roman"/>
          <w:sz w:val="28"/>
          <w:szCs w:val="28"/>
        </w:rPr>
        <w:t xml:space="preserve"> Бузулукского района Оренбургской области</w:t>
      </w:r>
      <w:r w:rsidRPr="00E34180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</w:t>
      </w:r>
      <w:r w:rsidRPr="00DE0DD9">
        <w:rPr>
          <w:rFonts w:ascii="Times New Roman" w:hAnsi="Times New Roman" w:cs="Times New Roman"/>
          <w:b/>
          <w:sz w:val="28"/>
          <w:szCs w:val="28"/>
        </w:rPr>
        <w:lastRenderedPageBreak/>
        <w:t>том числе порядок и формы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E0DD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E0DD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DD9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МФЦ, организаций, указанных в части 1.1 статьи 16 Федерального закона 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«</w:t>
      </w:r>
      <w:r w:rsidRPr="00DE0DD9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»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их должностных лиц,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информационно-телекоммуникационной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 ПРЕДОСТАВЛЕНИИ 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Pr="00DE0DD9">
        <w:rPr>
          <w:rFonts w:ascii="Times New Roman" w:hAnsi="Times New Roman" w:cs="Times New Roman"/>
          <w:sz w:val="24"/>
          <w:szCs w:val="24"/>
        </w:rPr>
        <w:t>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и  приложенных к нему документов </w:t>
      </w:r>
      <w:r w:rsidRPr="00DE0D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DE0DD9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Pr="00DE0DD9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ФИО заявителя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1.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2.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3.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DE0DD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D9" w:rsidRDefault="00DE0DD9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0C09AF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0C09AF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142F1" w:rsidRPr="00DE0DD9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</w:t>
      </w:r>
      <w:r w:rsidR="00EB0CA4" w:rsidRPr="00DE0DD9">
        <w:rPr>
          <w:rFonts w:ascii="Times New Roman" w:hAnsi="Times New Roman" w:cs="Times New Roman"/>
          <w:sz w:val="24"/>
          <w:szCs w:val="20"/>
        </w:rPr>
        <w:t>«</w:t>
      </w:r>
      <w:r w:rsidR="006142F1" w:rsidRPr="00DE0DD9">
        <w:rPr>
          <w:rFonts w:ascii="Times New Roman" w:hAnsi="Times New Roman" w:cs="Times New Roman"/>
          <w:sz w:val="24"/>
          <w:szCs w:val="20"/>
        </w:rPr>
        <w:t>__</w:t>
      </w:r>
      <w:r w:rsidR="00EB0CA4" w:rsidRPr="00DE0DD9">
        <w:rPr>
          <w:rFonts w:ascii="Times New Roman" w:hAnsi="Times New Roman" w:cs="Times New Roman"/>
          <w:sz w:val="24"/>
          <w:szCs w:val="20"/>
        </w:rPr>
        <w:t>»</w:t>
      </w:r>
      <w:r w:rsidR="006142F1" w:rsidRPr="00DE0DD9">
        <w:rPr>
          <w:rFonts w:ascii="Times New Roman" w:hAnsi="Times New Roman" w:cs="Times New Roman"/>
          <w:sz w:val="24"/>
          <w:szCs w:val="20"/>
        </w:rPr>
        <w:t xml:space="preserve"> _____________ 20__ г.</w:t>
      </w:r>
    </w:p>
    <w:p w:rsidR="00722B47" w:rsidRPr="00773309" w:rsidRDefault="006142F1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DE0DD9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773309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EB0CA4" w:rsidRPr="00DE0DD9">
        <w:rPr>
          <w:rFonts w:ascii="Times New Roman" w:hAnsi="Times New Roman" w:cs="Times New Roman"/>
          <w:sz w:val="24"/>
          <w:szCs w:val="24"/>
        </w:rPr>
        <w:t>«</w:t>
      </w:r>
      <w:r w:rsidRPr="00DE0DD9">
        <w:rPr>
          <w:rFonts w:ascii="Times New Roman" w:hAnsi="Times New Roman" w:cs="Times New Roman"/>
          <w:sz w:val="24"/>
          <w:szCs w:val="24"/>
        </w:rPr>
        <w:t>Предоставление жилого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DE0DD9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соответствии с </w:t>
      </w:r>
      <w:r w:rsidRPr="00DE0DD9">
        <w:rPr>
          <w:rFonts w:ascii="Times New Roman" w:hAnsi="Times New Roman" w:cs="Times New Roman"/>
          <w:sz w:val="24"/>
          <w:szCs w:val="24"/>
        </w:rPr>
        <w:t xml:space="preserve">Жилищным  </w:t>
      </w:r>
      <w:hyperlink r:id="rId14" w:history="1">
        <w:r w:rsidRPr="00DE0DD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E0DD9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</w:t>
      </w:r>
      <w:r w:rsidRPr="00DE0DD9">
        <w:rPr>
          <w:rFonts w:ascii="Times New Roman" w:hAnsi="Times New Roman" w:cs="Times New Roman"/>
          <w:sz w:val="24"/>
          <w:szCs w:val="24"/>
        </w:rPr>
        <w:t>реше</w:t>
      </w:r>
      <w:r w:rsidR="00DE0DD9">
        <w:rPr>
          <w:rFonts w:ascii="Times New Roman" w:hAnsi="Times New Roman" w:cs="Times New Roman"/>
          <w:sz w:val="24"/>
          <w:szCs w:val="24"/>
        </w:rPr>
        <w:t xml:space="preserve">ние  отказать в приеме </w:t>
      </w:r>
      <w:r w:rsidRPr="00DE0DD9">
        <w:rPr>
          <w:rFonts w:ascii="Times New Roman" w:hAnsi="Times New Roman" w:cs="Times New Roman"/>
          <w:sz w:val="24"/>
          <w:szCs w:val="24"/>
        </w:rPr>
        <w:t>документов,</w:t>
      </w:r>
      <w:r w:rsid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A65F6D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DE0DD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Представленные документы содержат подчистки и исправления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Указывается исчерпывающий перечень документов,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содержащих подчистки и исправления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0C09AF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Pr="00773309" w:rsidRDefault="000C09AF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09AF" w:rsidRPr="00773309" w:rsidRDefault="000C09AF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Предоставление жилого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</w:t>
      </w:r>
      <w:r w:rsidR="000C09AF">
        <w:rPr>
          <w:rFonts w:ascii="Times New Roman" w:hAnsi="Times New Roman" w:cs="Times New Roman"/>
          <w:sz w:val="24"/>
          <w:szCs w:val="24"/>
        </w:rPr>
        <w:t xml:space="preserve"> и приложенных к нему </w:t>
      </w:r>
      <w:r w:rsidRPr="000C09AF">
        <w:rPr>
          <w:rFonts w:ascii="Times New Roman" w:hAnsi="Times New Roman" w:cs="Times New Roman"/>
          <w:sz w:val="24"/>
          <w:szCs w:val="24"/>
        </w:rPr>
        <w:t>документов</w:t>
      </w:r>
      <w:r w:rsidR="000C09AF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5" w:history="1">
        <w:r w:rsidRPr="000C09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C09A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0C09AF">
        <w:rPr>
          <w:rFonts w:ascii="Times New Roman" w:hAnsi="Times New Roman" w:cs="Times New Roman"/>
          <w:sz w:val="24"/>
          <w:szCs w:val="24"/>
        </w:rPr>
        <w:t>пр</w:t>
      </w:r>
      <w:r w:rsidR="000C09AF">
        <w:rPr>
          <w:rFonts w:ascii="Times New Roman" w:hAnsi="Times New Roman" w:cs="Times New Roman"/>
          <w:sz w:val="24"/>
          <w:szCs w:val="24"/>
        </w:rPr>
        <w:t xml:space="preserve">инято решение отказать в приеме </w:t>
      </w:r>
      <w:r w:rsidRPr="000C09AF">
        <w:rPr>
          <w:rFonts w:ascii="Times New Roman" w:hAnsi="Times New Roman" w:cs="Times New Roman"/>
          <w:sz w:val="24"/>
          <w:szCs w:val="24"/>
        </w:rPr>
        <w:t>документов,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A65F6D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0C09AF">
        <w:trPr>
          <w:trHeight w:val="15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0C09AF">
              <w:rPr>
                <w:rFonts w:ascii="Times New Roman" w:hAnsi="Times New Roman" w:cs="Times New Roman"/>
                <w:sz w:val="24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</w:t>
            </w: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соответствии с Жилищным </w:t>
            </w:r>
            <w:hyperlink r:id="rId16" w:history="1">
              <w:r w:rsidRPr="000C09AF">
                <w:rPr>
                  <w:rFonts w:ascii="Times New Roman" w:hAnsi="Times New Roman" w:cs="Times New Roman"/>
                  <w:sz w:val="24"/>
                  <w:szCs w:val="28"/>
                </w:rPr>
                <w:t>кодексом</w:t>
              </w:r>
            </w:hyperlink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722B47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0C09AF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722B47" w:rsidRPr="000C09AF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1. Заявитель 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Телефон (мобильный):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124A">
        <w:rPr>
          <w:rFonts w:ascii="Times New Roman" w:hAnsi="Times New Roman" w:cs="Times New Roman"/>
          <w:sz w:val="24"/>
          <w:szCs w:val="24"/>
        </w:rPr>
        <w:t xml:space="preserve"> 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  <w:r w:rsidRPr="000C09AF">
        <w:rPr>
          <w:rFonts w:ascii="Times New Roman" w:hAnsi="Times New Roman" w:cs="Times New Roman"/>
          <w:sz w:val="24"/>
          <w:szCs w:val="24"/>
        </w:rPr>
        <w:t xml:space="preserve"> 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Представитель заявителя: 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подтверждающий полн</w:t>
      </w:r>
      <w:r w:rsidR="00EB124A">
        <w:rPr>
          <w:rFonts w:ascii="Times New Roman" w:hAnsi="Times New Roman" w:cs="Times New Roman"/>
          <w:sz w:val="24"/>
          <w:szCs w:val="24"/>
        </w:rPr>
        <w:t>омочия представителя заявителя:___</w:t>
      </w:r>
      <w:r w:rsidRPr="000C09AF">
        <w:rPr>
          <w:rFonts w:ascii="Times New Roman" w:hAnsi="Times New Roman" w:cs="Times New Roman"/>
          <w:sz w:val="24"/>
          <w:szCs w:val="24"/>
        </w:rPr>
        <w:t>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3. Проживаю один 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24A">
        <w:rPr>
          <w:rFonts w:ascii="Times New Roman" w:hAnsi="Times New Roman" w:cs="Times New Roman"/>
          <w:sz w:val="24"/>
          <w:szCs w:val="24"/>
        </w:rPr>
        <w:t xml:space="preserve">  </w:t>
      </w:r>
      <w:r w:rsidRPr="000C09AF">
        <w:rPr>
          <w:rFonts w:ascii="Times New Roman" w:hAnsi="Times New Roman" w:cs="Times New Roman"/>
          <w:sz w:val="24"/>
          <w:szCs w:val="24"/>
        </w:rPr>
        <w:t>Проживаю совместно с членами семьи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4. Состою в браке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Супруг: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родителя 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</w:t>
      </w:r>
      <w:r w:rsidR="00EB124A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6. Имеются дети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выдан:___________________________________________________________________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(до 14 лет)</w:t>
      </w:r>
      <w:r w:rsidR="00EB124A">
        <w:rPr>
          <w:rFonts w:ascii="Times New Roman" w:hAnsi="Times New Roman" w:cs="Times New Roman"/>
          <w:sz w:val="24"/>
          <w:szCs w:val="24"/>
        </w:rPr>
        <w:t>________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B124A" w:rsidSect="000C09AF">
          <w:pgSz w:w="11905" w:h="16838"/>
          <w:pgMar w:top="709" w:right="850" w:bottom="709" w:left="1701" w:header="0" w:footer="0" w:gutter="0"/>
          <w:cols w:space="720"/>
          <w:titlePg/>
          <w:docGrid w:linePitch="299"/>
        </w:sectPr>
      </w:pPr>
      <w:r w:rsidRPr="000C09AF">
        <w:rPr>
          <w:rFonts w:ascii="Times New Roman" w:hAnsi="Times New Roman" w:cs="Times New Roman"/>
          <w:sz w:val="24"/>
          <w:szCs w:val="24"/>
        </w:rPr>
        <w:t>Даю  свое согласие на получение, обработ</w:t>
      </w:r>
      <w:r w:rsidR="00EB124A">
        <w:rPr>
          <w:rFonts w:ascii="Times New Roman" w:hAnsi="Times New Roman" w:cs="Times New Roman"/>
          <w:sz w:val="24"/>
          <w:szCs w:val="24"/>
        </w:rPr>
        <w:t xml:space="preserve">ку и передачу моих персональных данных </w:t>
      </w:r>
      <w:r w:rsidRPr="000C09AF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8" w:history="1">
        <w:r w:rsidRPr="000C09A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0C09A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О персональных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данных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  <w:r w:rsidRPr="000C09AF">
        <w:rPr>
          <w:rFonts w:ascii="Times New Roman" w:hAnsi="Times New Roman" w:cs="Times New Roman"/>
          <w:sz w:val="24"/>
          <w:szCs w:val="24"/>
        </w:rPr>
        <w:t>.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309" w:rsidRPr="00773309" w:rsidRDefault="00773309" w:rsidP="00EB124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EB124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__________________, действующий от имени собственника жилого помещения</w:t>
      </w:r>
    </w:p>
    <w:p w:rsidR="00A65F6D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A65F6D">
        <w:rPr>
          <w:rFonts w:ascii="Times New Roman" w:hAnsi="Times New Roman" w:cs="Times New Roman"/>
          <w:sz w:val="28"/>
          <w:szCs w:val="28"/>
        </w:rPr>
        <w:t xml:space="preserve">именуемый в дальнейшем Наймодатель, с одной стороны, и </w:t>
      </w:r>
      <w:r w:rsidRPr="00773309">
        <w:rPr>
          <w:rFonts w:ascii="Times New Roman" w:hAnsi="Times New Roman" w:cs="Times New Roman"/>
          <w:sz w:val="28"/>
          <w:szCs w:val="28"/>
        </w:rPr>
        <w:t>гражданин(ка)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 xml:space="preserve">и пользование </w:t>
      </w:r>
      <w:r w:rsidRPr="00773309">
        <w:rPr>
          <w:rFonts w:ascii="Times New Roman" w:hAnsi="Times New Roman" w:cs="Times New Roman"/>
          <w:sz w:val="28"/>
          <w:szCs w:val="28"/>
        </w:rPr>
        <w:t>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 а также санитарно-технического и иного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773309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з) контролировать качество предоставляемых жилищно-коммунальных услуг;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 w:rsidP="00A65F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65F6D">
      <w:pgSz w:w="11905" w:h="16838"/>
      <w:pgMar w:top="567" w:right="850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89" w:rsidRDefault="00CA6889" w:rsidP="00722B47">
      <w:pPr>
        <w:spacing w:after="0" w:line="240" w:lineRule="auto"/>
      </w:pPr>
      <w:r>
        <w:separator/>
      </w:r>
    </w:p>
  </w:endnote>
  <w:endnote w:type="continuationSeparator" w:id="0">
    <w:p w:rsidR="00CA6889" w:rsidRDefault="00CA6889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89" w:rsidRDefault="00CA6889" w:rsidP="00722B47">
      <w:pPr>
        <w:spacing w:after="0" w:line="240" w:lineRule="auto"/>
      </w:pPr>
      <w:r>
        <w:separator/>
      </w:r>
    </w:p>
  </w:footnote>
  <w:footnote w:type="continuationSeparator" w:id="0">
    <w:p w:rsidR="00CA6889" w:rsidRDefault="00CA6889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7"/>
    <w:rsid w:val="00010BCA"/>
    <w:rsid w:val="000510FF"/>
    <w:rsid w:val="000812F3"/>
    <w:rsid w:val="00090F20"/>
    <w:rsid w:val="000C09AF"/>
    <w:rsid w:val="00193A9C"/>
    <w:rsid w:val="001B7BF9"/>
    <w:rsid w:val="001D027C"/>
    <w:rsid w:val="002C30B8"/>
    <w:rsid w:val="002F599A"/>
    <w:rsid w:val="00345AC5"/>
    <w:rsid w:val="003B7BDA"/>
    <w:rsid w:val="003C31ED"/>
    <w:rsid w:val="003E4933"/>
    <w:rsid w:val="003F7721"/>
    <w:rsid w:val="00420FB6"/>
    <w:rsid w:val="00480A53"/>
    <w:rsid w:val="004A0787"/>
    <w:rsid w:val="004A52CC"/>
    <w:rsid w:val="004A752E"/>
    <w:rsid w:val="004E1B85"/>
    <w:rsid w:val="00514FAE"/>
    <w:rsid w:val="00545241"/>
    <w:rsid w:val="005A1AED"/>
    <w:rsid w:val="005A7F87"/>
    <w:rsid w:val="005B75E7"/>
    <w:rsid w:val="005D22BA"/>
    <w:rsid w:val="0061301B"/>
    <w:rsid w:val="006142F1"/>
    <w:rsid w:val="00633515"/>
    <w:rsid w:val="006C0B1B"/>
    <w:rsid w:val="006C57CC"/>
    <w:rsid w:val="00722B47"/>
    <w:rsid w:val="00773309"/>
    <w:rsid w:val="00780A32"/>
    <w:rsid w:val="007D430E"/>
    <w:rsid w:val="00840EE8"/>
    <w:rsid w:val="008420D0"/>
    <w:rsid w:val="00916B75"/>
    <w:rsid w:val="0093660F"/>
    <w:rsid w:val="0097537F"/>
    <w:rsid w:val="009A494E"/>
    <w:rsid w:val="009B5B8A"/>
    <w:rsid w:val="009C3BD6"/>
    <w:rsid w:val="00A11C53"/>
    <w:rsid w:val="00A65F6D"/>
    <w:rsid w:val="00B51A34"/>
    <w:rsid w:val="00BA3D52"/>
    <w:rsid w:val="00BC0817"/>
    <w:rsid w:val="00CA6889"/>
    <w:rsid w:val="00CD6ECB"/>
    <w:rsid w:val="00D235BB"/>
    <w:rsid w:val="00D431C4"/>
    <w:rsid w:val="00D54246"/>
    <w:rsid w:val="00D61333"/>
    <w:rsid w:val="00D62263"/>
    <w:rsid w:val="00DB08B7"/>
    <w:rsid w:val="00DE0DD9"/>
    <w:rsid w:val="00E004A6"/>
    <w:rsid w:val="00E34180"/>
    <w:rsid w:val="00E74347"/>
    <w:rsid w:val="00E90378"/>
    <w:rsid w:val="00EB0CA4"/>
    <w:rsid w:val="00EB124A"/>
    <w:rsid w:val="00EC6D7F"/>
    <w:rsid w:val="00EE620D"/>
    <w:rsid w:val="00EF4D19"/>
    <w:rsid w:val="00EF6774"/>
    <w:rsid w:val="00F02B62"/>
    <w:rsid w:val="00F71F32"/>
    <w:rsid w:val="00FC56A5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A71"/>
  <w15:chartTrackingRefBased/>
  <w15:docId w15:val="{BDF603AD-0BAA-4545-B235-3011FC9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CC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57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B2A1-D138-4D2F-9984-45CB4558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31</Pages>
  <Words>10331</Words>
  <Characters>58893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МФЦ</cp:lastModifiedBy>
  <cp:revision>21</cp:revision>
  <cp:lastPrinted>2022-12-07T09:58:00Z</cp:lastPrinted>
  <dcterms:created xsi:type="dcterms:W3CDTF">2023-06-03T17:58:00Z</dcterms:created>
  <dcterms:modified xsi:type="dcterms:W3CDTF">2023-12-29T09:59:00Z</dcterms:modified>
</cp:coreProperties>
</file>