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eastAsiaTheme="minorHAnsi"/>
          <w:sz w:val="28"/>
          <w:szCs w:val="28"/>
        </w:rPr>
      </w:pPr>
      <w:r>
        <w:rPr>
          <w:rStyle w:val="4"/>
          <w:rFonts w:eastAsiaTheme="minorHAnsi"/>
          <w:sz w:val="28"/>
          <w:szCs w:val="28"/>
        </w:rPr>
        <w:t>Доклад о функционировании антимонопольного комплаенса в администрации МО Бузулукский район Оренбургской области за 202</w:t>
      </w:r>
      <w:r>
        <w:rPr>
          <w:rStyle w:val="4"/>
          <w:rFonts w:hint="default"/>
          <w:sz w:val="28"/>
          <w:szCs w:val="28"/>
          <w:lang w:val="en-US"/>
        </w:rPr>
        <w:t>3</w:t>
      </w:r>
      <w:r>
        <w:rPr>
          <w:rStyle w:val="4"/>
          <w:rFonts w:eastAsiaTheme="minorHAnsi"/>
          <w:sz w:val="28"/>
          <w:szCs w:val="28"/>
        </w:rPr>
        <w:t xml:space="preserve"> год</w:t>
      </w:r>
    </w:p>
    <w:p>
      <w:pPr>
        <w:jc w:val="center"/>
        <w:rPr>
          <w:rStyle w:val="4"/>
          <w:rFonts w:eastAsiaTheme="minorHAnsi"/>
          <w:sz w:val="28"/>
          <w:szCs w:val="28"/>
        </w:rPr>
      </w:pPr>
    </w:p>
    <w:p>
      <w:pPr>
        <w:widowControl w:val="0"/>
        <w:spacing w:after="0" w:line="293" w:lineRule="exact"/>
        <w:ind w:firstLine="6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Указа Губернатора Оренбургской области от 27.02.2019 № 85-ук «О порядке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Оренбургской области» администрацией МО Бузулукский район в 2021г. осуществлялись основные мероприятия по внедрению и функционированию системы внутреннего обеспечения соответствия требованиям антимонопольного законодательства.</w:t>
      </w:r>
    </w:p>
    <w:p>
      <w:pPr>
        <w:widowControl w:val="0"/>
        <w:spacing w:after="0" w:line="293" w:lineRule="exact"/>
        <w:ind w:firstLine="6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Деятельность администрации Бузулукского района осуществлялась в соответствии с целями, функциями и задачами по работе с антимонопольным комплаенсом, утвержденными постановлением от 08.05.2019 № 389-п «</w:t>
      </w:r>
      <w:r>
        <w:rPr>
          <w:rFonts w:ascii="Times New Roman" w:hAnsi="Times New Roman"/>
          <w:color w:val="000000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Бузулукский район (антимонопольный комплаенс)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».</w:t>
      </w:r>
    </w:p>
    <w:p>
      <w:pPr>
        <w:spacing w:after="0" w:line="302" w:lineRule="exact"/>
        <w:ind w:firstLine="6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Администрацией МО Бузулукский район утверждены:</w:t>
      </w:r>
    </w:p>
    <w:p>
      <w:pPr>
        <w:spacing w:after="0" w:line="302" w:lineRule="exact"/>
        <w:ind w:firstLine="6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- от 20.04.2020 № 294-п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«Об утверждении карты рисков нарушения антимонопольного законодательства в деятельности администрации муниципального образования Бузулукский район и подведомственных учреждениях»;</w:t>
      </w:r>
    </w:p>
    <w:p>
      <w:pPr>
        <w:widowControl w:val="0"/>
        <w:spacing w:after="0" w:line="298" w:lineRule="exact"/>
        <w:ind w:firstLine="640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>- от 20.04.2020 г. № 295-п «Об утверждении плана мероприятий по снижению рисков нарушения антимонопольного законодательства в деятельности администрации муниципального образования Бузулукский район и подведомственных учреждениях».</w:t>
      </w:r>
    </w:p>
    <w:p>
      <w:pPr>
        <w:widowControl w:val="0"/>
        <w:spacing w:after="0" w:line="298" w:lineRule="exact"/>
        <w:ind w:firstLine="640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>Кадрово-правовым отделом проведена экспертиза правовых актов на наличие нарушений администрацией Бузулукского района требований Федерального закона № 135- ФЗ от 26.07.2006 г. «О защите конкуренции» за 2020-2021 года. Нарушений не было.</w:t>
      </w:r>
    </w:p>
    <w:p>
      <w:pPr>
        <w:widowControl w:val="0"/>
        <w:spacing w:after="0" w:line="298" w:lineRule="exact"/>
        <w:ind w:firstLine="640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highlight w:val="none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8"/>
          <w:szCs w:val="28"/>
          <w:highlight w:val="none"/>
          <w:lang w:eastAsia="ru-RU" w:bidi="ru-RU"/>
        </w:rPr>
        <w:t>Во исполнение постановления о создании системы соответствия антимонопольному законодательству для всех муниципальных служащих проводится вводный (первичный) инструктаж по соблюдению требований антимонопольного законодательства. За 202</w:t>
      </w:r>
      <w:r>
        <w:rPr>
          <w:rFonts w:hint="default" w:ascii="Times New Roman" w:hAnsi="Times New Roman" w:eastAsia="Microsoft Sans Serif" w:cs="Times New Roman"/>
          <w:color w:val="000000"/>
          <w:sz w:val="28"/>
          <w:szCs w:val="28"/>
          <w:highlight w:val="none"/>
          <w:lang w:val="en-US" w:eastAsia="ru-RU" w:bidi="ru-RU"/>
        </w:rPr>
        <w:t>3</w:t>
      </w:r>
      <w:r>
        <w:rPr>
          <w:rFonts w:ascii="Times New Roman" w:hAnsi="Times New Roman" w:eastAsia="Microsoft Sans Serif" w:cs="Times New Roman"/>
          <w:color w:val="000000"/>
          <w:sz w:val="28"/>
          <w:szCs w:val="28"/>
          <w:highlight w:val="none"/>
          <w:lang w:eastAsia="ru-RU" w:bidi="ru-RU"/>
        </w:rPr>
        <w:t xml:space="preserve"> год инструктаж был проведен для </w:t>
      </w:r>
      <w:r>
        <w:rPr>
          <w:rFonts w:hint="default" w:ascii="Times New Roman" w:hAnsi="Times New Roman" w:eastAsia="Microsoft Sans Serif" w:cs="Times New Roman"/>
          <w:color w:val="000000"/>
          <w:sz w:val="28"/>
          <w:szCs w:val="28"/>
          <w:highlight w:val="none"/>
          <w:lang w:val="en-US" w:eastAsia="ru-RU" w:bidi="ru-RU"/>
        </w:rPr>
        <w:t>20</w:t>
      </w:r>
      <w:r>
        <w:rPr>
          <w:rFonts w:ascii="Times New Roman" w:hAnsi="Times New Roman" w:eastAsia="Microsoft Sans Serif" w:cs="Times New Roman"/>
          <w:color w:val="000000"/>
          <w:sz w:val="28"/>
          <w:szCs w:val="28"/>
          <w:highlight w:val="none"/>
          <w:lang w:eastAsia="ru-RU" w:bidi="ru-RU"/>
        </w:rPr>
        <w:t xml:space="preserve"> принятых муниципальных служащих при поступлении на работу, в 202</w:t>
      </w:r>
      <w:r>
        <w:rPr>
          <w:rFonts w:hint="default" w:ascii="Times New Roman" w:hAnsi="Times New Roman" w:eastAsia="Microsoft Sans Serif" w:cs="Times New Roman"/>
          <w:color w:val="000000"/>
          <w:sz w:val="28"/>
          <w:szCs w:val="28"/>
          <w:highlight w:val="none"/>
          <w:lang w:val="en-US" w:eastAsia="ru-RU" w:bidi="ru-RU"/>
        </w:rPr>
        <w:t>3</w:t>
      </w:r>
      <w:r>
        <w:rPr>
          <w:rFonts w:ascii="Times New Roman" w:hAnsi="Times New Roman" w:eastAsia="Microsoft Sans Serif" w:cs="Times New Roman"/>
          <w:color w:val="000000"/>
          <w:sz w:val="28"/>
          <w:szCs w:val="28"/>
          <w:highlight w:val="none"/>
          <w:lang w:eastAsia="ru-RU" w:bidi="ru-RU"/>
        </w:rPr>
        <w:t xml:space="preserve"> году  4 человека </w:t>
      </w:r>
    </w:p>
    <w:p>
      <w:pPr>
        <w:widowControl w:val="0"/>
        <w:spacing w:after="0" w:line="298" w:lineRule="exact"/>
        <w:ind w:firstLine="640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>В 202</w:t>
      </w:r>
      <w:r>
        <w:rPr>
          <w:rFonts w:hint="default" w:ascii="Times New Roman" w:hAnsi="Times New Roman" w:eastAsia="Microsoft Sans Serif" w:cs="Times New Roman"/>
          <w:color w:val="000000"/>
          <w:sz w:val="28"/>
          <w:szCs w:val="28"/>
          <w:lang w:val="en-US" w:eastAsia="ru-RU" w:bidi="ru-RU"/>
        </w:rPr>
        <w:t>3</w:t>
      </w: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 xml:space="preserve"> году прошли курсы повышения квалификации 5 муниципальных служащих по теме: «Практика внедрения антимонопольного комплаенса и применения антимонопольного законодательства органами государственной власти и местного самоуправл</w:t>
      </w:r>
      <w:bookmarkStart w:id="0" w:name="_GoBack"/>
      <w:bookmarkEnd w:id="0"/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>ения».</w:t>
      </w:r>
    </w:p>
    <w:p>
      <w:pPr>
        <w:widowControl w:val="0"/>
        <w:spacing w:after="0" w:line="298" w:lineRule="exact"/>
        <w:ind w:firstLine="640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>Рассмотрение дел по вопросам применения и возможного нарушения администрацией Бузулукского района норм антимонопольного законодательства в судебных инстанциях не осуществлялось.</w:t>
      </w:r>
    </w:p>
    <w:p>
      <w:pPr>
        <w:widowControl w:val="0"/>
        <w:spacing w:after="0" w:line="298" w:lineRule="exact"/>
        <w:ind w:firstLine="640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>Уровень риска нарушения антимонопольного законодательства в администрации МО Бузулукский район определен как низкий, так как отсутствует отрицательное влияние на отношение институтов гражданского общества к деятельности администрации МО Бузулукский район по развитию конкуренции, вероятность выдачи предупреждения, возбуждения дела о нарушении антимонопольного законодательства, наложения штрафов.</w:t>
      </w:r>
    </w:p>
    <w:p>
      <w:pPr>
        <w:widowControl w:val="0"/>
        <w:spacing w:after="0" w:line="298" w:lineRule="exact"/>
        <w:ind w:firstLine="640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>Деятельность по системе внутреннего обеспечения соответствия требованиям антимонопольного законодательства активизирована в полном объеме.</w:t>
      </w:r>
    </w:p>
    <w:p>
      <w:pPr>
        <w:widowControl w:val="0"/>
        <w:spacing w:after="0" w:line="298" w:lineRule="exact"/>
        <w:ind w:firstLine="640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98" w:lineRule="exact"/>
        <w:ind w:firstLine="640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98" w:lineRule="exact"/>
        <w:ind w:firstLine="640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98" w:lineRule="exact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>И.о. заместителя главы</w:t>
      </w:r>
    </w:p>
    <w:p>
      <w:pPr>
        <w:widowControl w:val="0"/>
        <w:spacing w:after="0" w:line="298" w:lineRule="exact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>администрации района</w:t>
      </w:r>
    </w:p>
    <w:p>
      <w:pPr>
        <w:widowControl w:val="0"/>
        <w:spacing w:after="0" w:line="298" w:lineRule="exact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>по экономическим вопросам                                                       А.В. Скороваров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 функционировании антимонопольного комплаенса в администрации МО Бузулукский район Оренбургской области за 1 полугодие 2022 года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Указа Губернатора Оренбургской области от 27.02.2019 № 85-ук «О порядке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Оренбургской области» администрацией МО Бузулукский район в 1 полугодии 2022г. осуществлялись основные мероприятия по внедрению и функционированию системы внутреннего обеспечения соответствия требованиям антимонопольного законодательства.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администрации Бузулукского района осуществлялась в соответствии с целями, функциями и задачами по работе с антимонопольным комплаенсом, утвержденными постановлением от 08.05.2019 № 389-п «Об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Бузулукский район (антимонопольный комплаенс)».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МО Бузулукский район утверждены: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20.04.2020 № 294-п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«Об утверждении карты рисков нарушения антимонопольного законодательства в деятельности администрации муниципального образования Бузулукский район и подведомственных учреждениях»;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20.04.2020 г. № 295-п «Об утверждении плана мероприятий по снижению рисков нарушения антимонопольного законодательства в деятельности администрации муниципального образования Бузулукский район и подведомственных учреждениях».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Кадрово-правовым отделом проведена экспертиза правовых актов на наличие нарушений администрацией Бузулукского района требований Федерального закона № 135- ФЗ от 26.07.2006 г. «О защите конкуренции» за 1 полугодие 2022 года. Нарушений не было.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о создании системы соответствия антимонопольному законодательству для всех муниципальных служащих проводится вводный (первичный) инструктаж по соблюдению требований антимонопольного законодательства. За 1 полугодие 2022 года инструктаж был проведен для 4 принятых муниципальных служащих при поступлении на работу. 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 2022 года прошли курсы повышения квалификации 3 муниципальных служащих по теме: «Практика внедрения антимонопольного комплаенса и применения антимонопольного законодательства органами государственной власти и местного самоуправления».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дел по вопросам применения и возможного нарушения администрацией Бузулукского района норм антимонопольного законодательства в судебных инстанциях не осуществлялось.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риска нарушения антимонопольного законодательства в администрации МО Бузулукский район определен как низкий, так как отсутствует отрицательное влияние на отношение институтов гражданского общества к деятельности администрации МО Бузулукский район по развитию конкуренции, вероятность выдачи предупреждения, возбуждения дела о нарушении антимонопольного законодательства, наложения штрафов.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системе внутреннего обеспечения соответствия требованиям антимонопольного законодательства активизирована в полном объеме.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 функционировании антимонопольного комплаенса в администрации МО Бузулукский район Оренбургской области за 2022 год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Указа Губернатора Оренбургской области от 27.02.2019 № 85-ук «О порядке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Оренбургской области» администрацией Бузулукского района в 2022г. осуществлялись основные мероприятия по внедрению и функционированию системы внутреннего обеспечения соответствия требованиям антимонопольного законодательства.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администрации Бузулукского района осуществлялась в соответствии с целями, функциями и задачами по работе с антимонопольным комплаенсом, утвержденными постановлением от 08.05.2019 № 389-п «Об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Бузулукский район (антимонопольный комплаенс)».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Бузулукского района утвержден план мероприятий по снижению комплаенс-рисков, предусматривающим конкретные меры по минимизации и устранению установленных комплаенс-рисков, а также определены ответственные лица за реализацию мероприятий.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Бузулукского района утверждена карта рисков нарушения антимонопольного законодательства, в которой определены уровни риска причины и условия их возникновения.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Кадрово-правовым отделом проведена экспертиза правовых актов на наличие нарушений администрацией Бузулукского района требований Федерального закона № 135- ФЗ от 26.07.2006 г. «О защите конкуренции» за 1 полугодие 2022 года. Нарушений не было.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о создании системы соответствия антимонопольному законодательству для всех муниципальных служащих проводится вводный (первичный) инструктаж по соблюдению требований антимонопольного законодательства. За 1 полугодие 2022 года инструктаж был проведен для 4 принятых муниципальных служащих при поступлении на работу. 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 2022 года прошли курсы повышения квалификации 3 муниципальных служащих по теме: «Практика внедрения антимонопольного комплаенса и применения антимонопольного законодательства органами государственной власти и местного самоуправления».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дел по вопросам применения и возможного нарушения администрацией Бузулукского района норм антимонопольного законодательства в судебных инстанциях не осуществлялось.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риска нарушения антимонопольного законодательства в администрации МО Бузулукский район определен как низкий, так как отсутствует отрицательное влияние на отношение институтов гражданского общества к деятельности администрации МО Бузулукский район по развитию конкуренции, вероятность выдачи предупреждения, возбуждения дела о нарушении антимонопольного законодательства, наложения штрафов.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системе внутреннего обеспечения соответствия требованиям антимонопольного законодательства активизирована в полном объеме.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1F"/>
    <w:rsid w:val="00053D49"/>
    <w:rsid w:val="002D6D65"/>
    <w:rsid w:val="004C1978"/>
    <w:rsid w:val="006500A6"/>
    <w:rsid w:val="0071122A"/>
    <w:rsid w:val="00841260"/>
    <w:rsid w:val="00A56421"/>
    <w:rsid w:val="00AB49B5"/>
    <w:rsid w:val="00AD4A1F"/>
    <w:rsid w:val="00BE20B4"/>
    <w:rsid w:val="00C95C58"/>
    <w:rsid w:val="00CD07C8"/>
    <w:rsid w:val="00E47D8B"/>
    <w:rsid w:val="00F00DAD"/>
    <w:rsid w:val="00FC41CA"/>
    <w:rsid w:val="0606602D"/>
    <w:rsid w:val="150835D2"/>
    <w:rsid w:val="1824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2)"/>
    <w:basedOn w:val="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1448</Words>
  <Characters>8258</Characters>
  <Lines>68</Lines>
  <Paragraphs>19</Paragraphs>
  <TotalTime>524</TotalTime>
  <ScaleCrop>false</ScaleCrop>
  <LinksUpToDate>false</LinksUpToDate>
  <CharactersWithSpaces>9687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2022-02-21T11:27:00Z</dcterms:created>
  <dc:creator>Батракова Н Н</dc:creator>
  <cp:lastModifiedBy>Банкетова В А</cp:lastModifiedBy>
  <cp:lastPrinted>2022-02-22T05:33:00Z</cp:lastPrinted>
  <dcterms:modified xsi:type="dcterms:W3CDTF">2024-02-08T08:04:10Z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B20B49D2B3A74359999B834E312A6ED3_13</vt:lpwstr>
  </property>
</Properties>
</file>