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02F91" w:rsidRPr="00B02F91" w:rsidTr="008060F9">
        <w:tc>
          <w:tcPr>
            <w:tcW w:w="4785"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656FBA" w:rsidP="00B02F9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Лисьеполянский</w:t>
            </w:r>
            <w:proofErr w:type="spellEnd"/>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067A41"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05.02.2024</w:t>
            </w:r>
            <w:r w:rsidR="00B02F91" w:rsidRPr="00B02F91">
              <w:rPr>
                <w:rFonts w:ascii="Times New Roman" w:hAnsi="Times New Roman" w:cs="Times New Roman"/>
                <w:sz w:val="28"/>
                <w:szCs w:val="28"/>
              </w:rPr>
              <w:t xml:space="preserve"> № </w:t>
            </w:r>
            <w:r>
              <w:rPr>
                <w:rFonts w:ascii="Times New Roman" w:hAnsi="Times New Roman" w:cs="Times New Roman"/>
                <w:sz w:val="28"/>
                <w:szCs w:val="28"/>
              </w:rPr>
              <w:t>6/1</w:t>
            </w:r>
          </w:p>
          <w:p w:rsidR="00B02F91" w:rsidRPr="00B02F91" w:rsidRDefault="00656FBA"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Лисья Поляна</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656FBA">
              <w:rPr>
                <w:rFonts w:ascii="Times New Roman" w:hAnsi="Times New Roman" w:cs="Times New Roman"/>
                <w:color w:val="000000"/>
                <w:sz w:val="28"/>
                <w:szCs w:val="28"/>
                <w:shd w:val="clear" w:color="auto" w:fill="FFFFFF"/>
              </w:rPr>
              <w:t>Лисьеполянского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w:t>
            </w:r>
            <w:r w:rsidR="00067A41">
              <w:rPr>
                <w:rFonts w:ascii="Times New Roman" w:hAnsi="Times New Roman" w:cs="Times New Roman"/>
                <w:sz w:val="28"/>
                <w:szCs w:val="28"/>
                <w:shd w:val="clear" w:color="auto" w:fill="FFFFFF"/>
              </w:rPr>
              <w:t>2024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widowControl w:val="0"/>
              <w:spacing w:after="0" w:line="240" w:lineRule="auto"/>
              <w:jc w:val="both"/>
              <w:rPr>
                <w:rFonts w:ascii="Times New Roman" w:hAnsi="Times New Roman" w:cs="Times New Roman"/>
                <w:color w:val="00000A"/>
                <w:sz w:val="28"/>
                <w:szCs w:val="28"/>
                <w:lang w:eastAsia="ar-SA" w:bidi="hi-IN"/>
              </w:rPr>
            </w:pPr>
          </w:p>
          <w:p w:rsidR="00B02F91" w:rsidRPr="00B02F91" w:rsidRDefault="00B02F91" w:rsidP="00B02F91">
            <w:pPr>
              <w:spacing w:after="0" w:line="240" w:lineRule="auto"/>
              <w:jc w:val="both"/>
              <w:rPr>
                <w:rFonts w:ascii="Times New Roman" w:hAnsi="Times New Roman" w:cs="Times New Roman"/>
                <w:sz w:val="28"/>
                <w:szCs w:val="28"/>
              </w:rPr>
            </w:pPr>
          </w:p>
        </w:tc>
        <w:tc>
          <w:tcPr>
            <w:tcW w:w="4785"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537D52"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537D52"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656FBA">
        <w:rPr>
          <w:rFonts w:ascii="Times New Roman" w:hAnsi="Times New Roman" w:cs="Times New Roman"/>
          <w:color w:val="000000"/>
          <w:sz w:val="28"/>
          <w:szCs w:val="28"/>
        </w:rPr>
        <w:t>Лисьеполянского</w:t>
      </w:r>
      <w:proofErr w:type="spellEnd"/>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w:t>
      </w:r>
      <w:r w:rsidR="00067A41">
        <w:rPr>
          <w:rFonts w:ascii="Times New Roman" w:hAnsi="Times New Roman" w:cs="Times New Roman"/>
          <w:sz w:val="28"/>
          <w:szCs w:val="28"/>
          <w:shd w:val="clear" w:color="auto" w:fill="FFFFFF"/>
        </w:rPr>
        <w:t>2024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0D268E">
        <w:rPr>
          <w:rFonts w:ascii="Times New Roman" w:hAnsi="Times New Roman" w:cs="Times New Roman"/>
          <w:sz w:val="28"/>
          <w:szCs w:val="28"/>
        </w:rPr>
        <w:t>обнародования</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 xml:space="preserve">на официальном сайте муниципального </w:t>
      </w:r>
      <w:proofErr w:type="gramStart"/>
      <w:r w:rsidR="00416055" w:rsidRPr="00416055">
        <w:rPr>
          <w:rFonts w:ascii="Times New Roman" w:hAnsi="Times New Roman" w:cs="Times New Roman"/>
          <w:sz w:val="28"/>
          <w:szCs w:val="28"/>
        </w:rPr>
        <w:t xml:space="preserve">образования  </w:t>
      </w:r>
      <w:proofErr w:type="spellStart"/>
      <w:r w:rsidR="00416055" w:rsidRPr="00416055">
        <w:rPr>
          <w:rFonts w:ascii="Times New Roman" w:hAnsi="Times New Roman" w:cs="Times New Roman"/>
          <w:sz w:val="28"/>
          <w:szCs w:val="28"/>
        </w:rPr>
        <w:t>Бузулукский</w:t>
      </w:r>
      <w:proofErr w:type="spellEnd"/>
      <w:proofErr w:type="gramEnd"/>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на правоотношения, возникшие с 01.01.</w:t>
      </w:r>
      <w:r w:rsidR="00067A41">
        <w:rPr>
          <w:rFonts w:ascii="Times New Roman" w:hAnsi="Times New Roman" w:cs="Times New Roman"/>
          <w:sz w:val="28"/>
          <w:szCs w:val="28"/>
        </w:rPr>
        <w:t>2024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6FBA">
        <w:rPr>
          <w:rFonts w:ascii="Times New Roman" w:hAnsi="Times New Roman" w:cs="Times New Roman"/>
          <w:sz w:val="28"/>
          <w:szCs w:val="28"/>
        </w:rPr>
        <w:t xml:space="preserve">                             </w:t>
      </w:r>
      <w:r w:rsidRPr="00871F95">
        <w:rPr>
          <w:rFonts w:ascii="Times New Roman" w:hAnsi="Times New Roman" w:cs="Times New Roman"/>
          <w:sz w:val="28"/>
          <w:szCs w:val="28"/>
        </w:rPr>
        <w:t xml:space="preserve"> </w:t>
      </w:r>
      <w:r w:rsidR="00656FBA">
        <w:rPr>
          <w:rFonts w:ascii="Times New Roman" w:hAnsi="Times New Roman" w:cs="Times New Roman"/>
          <w:sz w:val="28"/>
          <w:szCs w:val="28"/>
        </w:rPr>
        <w:t>Н.Н. Иващенко</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r w:rsidR="00B02F91">
        <w:rPr>
          <w:rFonts w:ascii="Times New Roman" w:hAnsi="Times New Roman" w:cs="Times New Roman"/>
          <w:bCs/>
          <w:sz w:val="28"/>
          <w:szCs w:val="28"/>
        </w:rPr>
        <w:t>Бузулукского</w:t>
      </w:r>
      <w:r w:rsidRPr="006D2760">
        <w:rPr>
          <w:rFonts w:ascii="Times New Roman" w:hAnsi="Times New Roman" w:cs="Times New Roman"/>
          <w:bCs/>
          <w:sz w:val="28"/>
          <w:szCs w:val="28"/>
        </w:rPr>
        <w:t xml:space="preserve"> района, на сайт, прокурору, в дело</w:t>
      </w: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D80271" w:rsidRDefault="00D80271" w:rsidP="00871F95">
      <w:pPr>
        <w:pStyle w:val="xl83"/>
        <w:suppressAutoHyphens/>
        <w:spacing w:before="0" w:after="0"/>
        <w:ind w:left="4536"/>
        <w:jc w:val="both"/>
        <w:rPr>
          <w:rFonts w:ascii="Times New Roman" w:hAnsi="Times New Roman" w:cs="Times New Roman"/>
          <w:lang w:eastAsia="ar-SA"/>
        </w:rPr>
      </w:pPr>
    </w:p>
    <w:p w:rsidR="00D80271" w:rsidRDefault="00D80271" w:rsidP="00871F95">
      <w:pPr>
        <w:pStyle w:val="xl83"/>
        <w:suppressAutoHyphens/>
        <w:spacing w:before="0" w:after="0"/>
        <w:ind w:left="4536"/>
        <w:jc w:val="both"/>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lastRenderedPageBreak/>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proofErr w:type="spellStart"/>
      <w:r w:rsidR="00656FBA">
        <w:rPr>
          <w:rFonts w:ascii="Times New Roman" w:hAnsi="Times New Roman" w:cs="Times New Roman"/>
          <w:lang w:eastAsia="ar-SA"/>
        </w:rPr>
        <w:t>Лисьеполянского</w:t>
      </w:r>
      <w:proofErr w:type="spellEnd"/>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7218AE">
        <w:rPr>
          <w:rFonts w:ascii="Times New Roman" w:hAnsi="Times New Roman" w:cs="Times New Roman"/>
          <w:lang w:eastAsia="ar-SA"/>
        </w:rPr>
        <w:t>05.02</w:t>
      </w:r>
      <w:bookmarkStart w:id="0" w:name="_GoBack"/>
      <w:bookmarkEnd w:id="0"/>
      <w:r w:rsidR="00D773C5">
        <w:rPr>
          <w:rFonts w:ascii="Times New Roman" w:hAnsi="Times New Roman" w:cs="Times New Roman"/>
          <w:lang w:eastAsia="ar-SA"/>
        </w:rPr>
        <w:t>.</w:t>
      </w:r>
      <w:r w:rsidR="00067A41">
        <w:rPr>
          <w:rFonts w:ascii="Times New Roman" w:hAnsi="Times New Roman" w:cs="Times New Roman"/>
          <w:lang w:eastAsia="ar-SA"/>
        </w:rPr>
        <w:t>2024</w:t>
      </w:r>
      <w:r w:rsidRPr="00E5358B">
        <w:rPr>
          <w:rFonts w:ascii="Times New Roman" w:hAnsi="Times New Roman" w:cs="Times New Roman"/>
          <w:lang w:eastAsia="ar-SA"/>
        </w:rPr>
        <w:t xml:space="preserve"> №</w:t>
      </w:r>
      <w:r w:rsidR="00656FBA">
        <w:rPr>
          <w:rFonts w:ascii="Times New Roman" w:hAnsi="Times New Roman" w:cs="Times New Roman"/>
          <w:lang w:eastAsia="ar-SA"/>
        </w:rPr>
        <w:t xml:space="preserve"> </w:t>
      </w:r>
      <w:r w:rsidR="007218AE">
        <w:rPr>
          <w:rFonts w:ascii="Times New Roman" w:hAnsi="Times New Roman" w:cs="Times New Roman"/>
          <w:lang w:eastAsia="ar-SA"/>
        </w:rPr>
        <w:t>6/1</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656FBA">
        <w:rPr>
          <w:rFonts w:ascii="Times New Roman" w:hAnsi="Times New Roman" w:cs="Times New Roman"/>
          <w:color w:val="000000"/>
          <w:sz w:val="28"/>
          <w:szCs w:val="28"/>
        </w:rPr>
        <w:t>Лисьеполянского</w:t>
      </w:r>
      <w:proofErr w:type="spellEnd"/>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067A41">
        <w:rPr>
          <w:rFonts w:ascii="Times New Roman" w:hAnsi="Times New Roman" w:cs="Times New Roman"/>
          <w:sz w:val="28"/>
          <w:szCs w:val="28"/>
          <w:shd w:val="clear" w:color="auto" w:fill="FFFFFF"/>
        </w:rPr>
        <w:t>2024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proofErr w:type="spellStart"/>
      <w:r w:rsidR="00656FBA">
        <w:rPr>
          <w:sz w:val="28"/>
          <w:szCs w:val="28"/>
        </w:rPr>
        <w:t>Лисьеполянский</w:t>
      </w:r>
      <w:proofErr w:type="spellEnd"/>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 xml:space="preserve">Администрацией в 2021 года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lastRenderedPageBreak/>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E5358B">
        <w:rPr>
          <w:rFonts w:ascii="Times New Roman" w:hAnsi="Times New Roman" w:cs="Times New Roman"/>
          <w:sz w:val="28"/>
          <w:szCs w:val="28"/>
        </w:rPr>
        <w:lastRenderedPageBreak/>
        <w:t>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67A41"/>
    <w:rsid w:val="000951C0"/>
    <w:rsid w:val="000D268E"/>
    <w:rsid w:val="0017570F"/>
    <w:rsid w:val="002B1D31"/>
    <w:rsid w:val="00315C72"/>
    <w:rsid w:val="00365670"/>
    <w:rsid w:val="003F5DBA"/>
    <w:rsid w:val="00416055"/>
    <w:rsid w:val="00537D52"/>
    <w:rsid w:val="005855C3"/>
    <w:rsid w:val="00630096"/>
    <w:rsid w:val="00636150"/>
    <w:rsid w:val="00656FBA"/>
    <w:rsid w:val="007218AE"/>
    <w:rsid w:val="00734BFA"/>
    <w:rsid w:val="00776D75"/>
    <w:rsid w:val="00871F95"/>
    <w:rsid w:val="008A6792"/>
    <w:rsid w:val="00AA79D7"/>
    <w:rsid w:val="00AC4A3C"/>
    <w:rsid w:val="00B02F91"/>
    <w:rsid w:val="00D63A04"/>
    <w:rsid w:val="00D773C5"/>
    <w:rsid w:val="00D80271"/>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8B28"/>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17</cp:revision>
  <cp:lastPrinted>2022-03-18T11:46:00Z</cp:lastPrinted>
  <dcterms:created xsi:type="dcterms:W3CDTF">2022-05-17T11:15:00Z</dcterms:created>
  <dcterms:modified xsi:type="dcterms:W3CDTF">2024-02-12T10:55:00Z</dcterms:modified>
</cp:coreProperties>
</file>