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85A56" w:rsidRPr="002E6D9B" w:rsidRDefault="00485A56" w:rsidP="00485A56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в сфере обращения с отходами</w:t>
      </w:r>
    </w:p>
    <w:bookmarkEnd w:id="0"/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Гражданско-правовая ответственность заключается в обязанности возмещения вреда окружающей среде, имуществу органов государственной власти, органов местного самоуправления, юридических лиц, здоровью и имуществу физических лиц, причиненного вследствие нарушения правил обращения с данными отходами.</w:t>
      </w:r>
    </w:p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Статьи 1068, 1069 Гражданского кодекса Российской Федерации предусматривают гражданско-правовую ответственность физических и юридических лиц вследствие причинения вреда, в том числе и в результате обращения с отходами.</w:t>
      </w:r>
    </w:p>
    <w:p w:rsidR="00485A56" w:rsidRPr="002E6D9B" w:rsidRDefault="00485A56" w:rsidP="00485A5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 работникам, которые допустили неисполнение или ненадлежащее исполнение возложенных на них трудовых обязанностей в области обращения с отходами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D75421" w:rsidRDefault="00485A56" w:rsidP="00485A56">
      <w:r w:rsidRPr="002E6D9B">
        <w:rPr>
          <w:rFonts w:ascii="Times New Roman" w:hAnsi="Times New Roman" w:cs="Times New Roman"/>
          <w:sz w:val="28"/>
          <w:szCs w:val="28"/>
        </w:rPr>
        <w:t>Необходимо отметить, что привлечение к ответственности не освобождает виновное лицо от обязанности устранить допущенные нарушения требований в области обращения с отходами.</w:t>
      </w:r>
    </w:p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1C5A0D"/>
    <w:rsid w:val="00485A56"/>
    <w:rsid w:val="0051651D"/>
    <w:rsid w:val="006007C7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2024-04-26T10:59:00Z</dcterms:created>
  <dcterms:modified xsi:type="dcterms:W3CDTF">2024-04-26T11:10:00Z</dcterms:modified>
</cp:coreProperties>
</file>